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14" w:rsidRPr="00CD79AC" w:rsidRDefault="001269F0" w:rsidP="00CD79AC">
      <w:pPr>
        <w:spacing w:after="0" w:line="240" w:lineRule="auto"/>
        <w:jc w:val="center"/>
        <w:rPr>
          <w:b/>
          <w:sz w:val="30"/>
        </w:rPr>
      </w:pPr>
      <w:r w:rsidRPr="00CD79AC">
        <w:rPr>
          <w:b/>
          <w:sz w:val="30"/>
        </w:rPr>
        <w:t>How to Calculate Income Tax</w:t>
      </w:r>
      <w:r w:rsidR="00CD79AC" w:rsidRPr="00CD79AC">
        <w:rPr>
          <w:b/>
          <w:sz w:val="30"/>
        </w:rPr>
        <w:t xml:space="preserve"> &amp; National </w:t>
      </w:r>
      <w:proofErr w:type="gramStart"/>
      <w:r w:rsidR="00CD79AC" w:rsidRPr="00CD79AC">
        <w:rPr>
          <w:b/>
          <w:sz w:val="30"/>
        </w:rPr>
        <w:t>Insurance</w:t>
      </w:r>
      <w:proofErr w:type="gramEnd"/>
    </w:p>
    <w:p w:rsidR="00D86179" w:rsidRDefault="00D86179" w:rsidP="001269F0">
      <w:pPr>
        <w:spacing w:after="0" w:line="240" w:lineRule="auto"/>
      </w:pPr>
    </w:p>
    <w:p w:rsidR="00D86179" w:rsidRDefault="00D86179" w:rsidP="001269F0">
      <w:pPr>
        <w:spacing w:after="0" w:line="240" w:lineRule="auto"/>
      </w:pPr>
    </w:p>
    <w:p w:rsidR="00D86179" w:rsidRDefault="00D86179" w:rsidP="001269F0">
      <w:pPr>
        <w:spacing w:after="0" w:line="240" w:lineRule="auto"/>
      </w:pPr>
      <w:r>
        <w:t>Items covered here…</w:t>
      </w:r>
    </w:p>
    <w:p w:rsidR="00D86179" w:rsidRDefault="00D86179" w:rsidP="001269F0">
      <w:pPr>
        <w:spacing w:after="0" w:line="240" w:lineRule="auto"/>
      </w:pPr>
    </w:p>
    <w:p w:rsidR="00005519" w:rsidRDefault="00005519" w:rsidP="00D86179">
      <w:pPr>
        <w:pStyle w:val="ListParagraph"/>
        <w:numPr>
          <w:ilvl w:val="0"/>
          <w:numId w:val="9"/>
        </w:numPr>
        <w:spacing w:after="0" w:line="360" w:lineRule="auto"/>
        <w:ind w:left="714" w:hanging="357"/>
      </w:pPr>
      <w:r>
        <w:t>What is Income Tax</w:t>
      </w:r>
      <w:r w:rsidR="00CA55C7">
        <w:t>?</w:t>
      </w:r>
    </w:p>
    <w:p w:rsidR="00005519" w:rsidRDefault="00005519" w:rsidP="00D86179">
      <w:pPr>
        <w:pStyle w:val="ListParagraph"/>
        <w:numPr>
          <w:ilvl w:val="0"/>
          <w:numId w:val="9"/>
        </w:numPr>
        <w:spacing w:after="0" w:line="360" w:lineRule="auto"/>
        <w:ind w:left="714" w:hanging="357"/>
      </w:pPr>
      <w:r>
        <w:t>Calculating Income Tax</w:t>
      </w:r>
    </w:p>
    <w:p w:rsidR="00CA55C7" w:rsidRDefault="00CA55C7" w:rsidP="00D86179">
      <w:pPr>
        <w:pStyle w:val="ListParagraph"/>
        <w:numPr>
          <w:ilvl w:val="0"/>
          <w:numId w:val="9"/>
        </w:numPr>
        <w:spacing w:after="0" w:line="360" w:lineRule="auto"/>
        <w:ind w:left="714" w:hanging="357"/>
      </w:pPr>
      <w:r>
        <w:t>What is PAYE?</w:t>
      </w:r>
    </w:p>
    <w:p w:rsidR="00CA55C7" w:rsidRDefault="00CA55C7" w:rsidP="00D86179">
      <w:pPr>
        <w:pStyle w:val="ListParagraph"/>
        <w:numPr>
          <w:ilvl w:val="0"/>
          <w:numId w:val="9"/>
        </w:numPr>
        <w:spacing w:after="0" w:line="360" w:lineRule="auto"/>
        <w:ind w:left="714" w:hanging="357"/>
      </w:pPr>
      <w:r>
        <w:t>Calculating PAYE</w:t>
      </w:r>
    </w:p>
    <w:p w:rsidR="00005519" w:rsidRDefault="00005519" w:rsidP="00D86179">
      <w:pPr>
        <w:pStyle w:val="ListParagraph"/>
        <w:numPr>
          <w:ilvl w:val="0"/>
          <w:numId w:val="9"/>
        </w:numPr>
        <w:spacing w:after="0" w:line="360" w:lineRule="auto"/>
        <w:ind w:left="714" w:hanging="357"/>
      </w:pPr>
      <w:r>
        <w:t>What is National Insurance</w:t>
      </w:r>
      <w:r w:rsidR="00CA55C7">
        <w:t>?</w:t>
      </w:r>
    </w:p>
    <w:p w:rsidR="00005519" w:rsidRDefault="00005519" w:rsidP="00D86179">
      <w:pPr>
        <w:pStyle w:val="ListParagraph"/>
        <w:numPr>
          <w:ilvl w:val="0"/>
          <w:numId w:val="9"/>
        </w:numPr>
        <w:spacing w:after="0" w:line="360" w:lineRule="auto"/>
        <w:ind w:left="714" w:hanging="357"/>
      </w:pPr>
      <w:r>
        <w:t>Calculating National Insurance</w:t>
      </w:r>
    </w:p>
    <w:p w:rsidR="00005519" w:rsidRDefault="00CA55C7" w:rsidP="00D86179">
      <w:pPr>
        <w:pStyle w:val="ListParagraph"/>
        <w:numPr>
          <w:ilvl w:val="0"/>
          <w:numId w:val="9"/>
        </w:numPr>
        <w:spacing w:after="0" w:line="360" w:lineRule="auto"/>
        <w:ind w:left="714" w:hanging="357"/>
      </w:pPr>
      <w:r>
        <w:t xml:space="preserve">Increasing your </w:t>
      </w:r>
      <w:r w:rsidR="00005519">
        <w:t>personal allowance</w:t>
      </w:r>
      <w:r>
        <w:t xml:space="preserve"> and other tax free benefits</w:t>
      </w:r>
    </w:p>
    <w:p w:rsidR="00CA55C7" w:rsidRDefault="00CA55C7" w:rsidP="001269F0">
      <w:pPr>
        <w:spacing w:after="0" w:line="240" w:lineRule="auto"/>
      </w:pPr>
    </w:p>
    <w:p w:rsidR="00CA55C7" w:rsidRPr="00CA55C7" w:rsidRDefault="00CA55C7" w:rsidP="001269F0">
      <w:pPr>
        <w:spacing w:after="0" w:line="240" w:lineRule="auto"/>
        <w:rPr>
          <w:b/>
        </w:rPr>
      </w:pPr>
      <w:r w:rsidRPr="00CA55C7">
        <w:rPr>
          <w:b/>
        </w:rPr>
        <w:t>What is Income Tax?</w:t>
      </w:r>
    </w:p>
    <w:p w:rsidR="00CA55C7" w:rsidRDefault="00CA55C7" w:rsidP="001269F0">
      <w:pPr>
        <w:spacing w:after="0" w:line="240" w:lineRule="auto"/>
      </w:pPr>
    </w:p>
    <w:p w:rsidR="001269F0" w:rsidRDefault="001269F0" w:rsidP="001269F0">
      <w:pPr>
        <w:spacing w:after="0" w:line="240" w:lineRule="auto"/>
      </w:pPr>
      <w:r>
        <w:t>Income tax is a tax paid on income, from earnings and/or savings in the UK.  The amount you pay depends on the amount of your income and is a proportion, or a percentage</w:t>
      </w:r>
      <w:r w:rsidR="00CA55C7">
        <w:t>,</w:t>
      </w:r>
      <w:r>
        <w:t xml:space="preserve"> of your income.</w:t>
      </w:r>
      <w:r w:rsidR="00E82BAA">
        <w:t xml:space="preserve">  People with higher incomes pay </w:t>
      </w:r>
      <w:r w:rsidR="00CA55C7">
        <w:t xml:space="preserve">proportionally </w:t>
      </w:r>
      <w:r w:rsidR="00E82BAA">
        <w:t>more income tax.</w:t>
      </w:r>
    </w:p>
    <w:p w:rsidR="00CD79AC" w:rsidRDefault="00CD79AC" w:rsidP="001269F0">
      <w:pPr>
        <w:spacing w:after="0" w:line="240" w:lineRule="auto"/>
      </w:pPr>
    </w:p>
    <w:p w:rsidR="001269F0" w:rsidRPr="00ED74CD" w:rsidRDefault="001269F0" w:rsidP="001269F0">
      <w:pPr>
        <w:spacing w:after="0" w:line="240" w:lineRule="auto"/>
        <w:rPr>
          <w:b/>
        </w:rPr>
      </w:pPr>
      <w:r w:rsidRPr="00ED74CD">
        <w:rPr>
          <w:b/>
        </w:rPr>
        <w:t>Income Tax Rates and Limits 2018/19</w:t>
      </w:r>
    </w:p>
    <w:p w:rsidR="001269F0" w:rsidRDefault="001269F0" w:rsidP="001269F0">
      <w:pPr>
        <w:spacing w:after="0" w:line="240" w:lineRule="auto"/>
      </w:pPr>
    </w:p>
    <w:tbl>
      <w:tblPr>
        <w:tblStyle w:val="TableGrid"/>
        <w:tblW w:w="5000" w:type="pct"/>
        <w:jc w:val="center"/>
        <w:tblCellMar>
          <w:top w:w="113" w:type="dxa"/>
          <w:left w:w="57" w:type="dxa"/>
          <w:bottom w:w="113" w:type="dxa"/>
          <w:right w:w="57" w:type="dxa"/>
        </w:tblCellMar>
        <w:tblLook w:val="04A0" w:firstRow="1" w:lastRow="0" w:firstColumn="1" w:lastColumn="0" w:noHBand="0" w:noVBand="1"/>
      </w:tblPr>
      <w:tblGrid>
        <w:gridCol w:w="3006"/>
        <w:gridCol w:w="1384"/>
        <w:gridCol w:w="4626"/>
      </w:tblGrid>
      <w:tr w:rsidR="001269F0" w:rsidTr="00CD79AC">
        <w:trPr>
          <w:jc w:val="center"/>
        </w:trPr>
        <w:tc>
          <w:tcPr>
            <w:tcW w:w="3006" w:type="dxa"/>
            <w:vAlign w:val="center"/>
          </w:tcPr>
          <w:p w:rsidR="001269F0" w:rsidRDefault="001269F0" w:rsidP="001269F0">
            <w:pPr>
              <w:jc w:val="center"/>
            </w:pPr>
            <w:r>
              <w:t>Limit</w:t>
            </w:r>
          </w:p>
        </w:tc>
        <w:tc>
          <w:tcPr>
            <w:tcW w:w="1384" w:type="dxa"/>
            <w:vAlign w:val="center"/>
          </w:tcPr>
          <w:p w:rsidR="001269F0" w:rsidRDefault="001269F0" w:rsidP="001269F0">
            <w:pPr>
              <w:jc w:val="center"/>
            </w:pPr>
            <w:r>
              <w:t>Tax Rate</w:t>
            </w:r>
          </w:p>
        </w:tc>
        <w:tc>
          <w:tcPr>
            <w:tcW w:w="4626" w:type="dxa"/>
            <w:vAlign w:val="center"/>
          </w:tcPr>
          <w:p w:rsidR="001269F0" w:rsidRDefault="001269F0" w:rsidP="001269F0">
            <w:pPr>
              <w:jc w:val="center"/>
            </w:pPr>
            <w:r>
              <w:t>Notes</w:t>
            </w:r>
          </w:p>
        </w:tc>
      </w:tr>
      <w:tr w:rsidR="001269F0" w:rsidTr="00CD79AC">
        <w:trPr>
          <w:jc w:val="center"/>
        </w:trPr>
        <w:tc>
          <w:tcPr>
            <w:tcW w:w="3006" w:type="dxa"/>
            <w:vAlign w:val="center"/>
          </w:tcPr>
          <w:p w:rsidR="001269F0" w:rsidRDefault="001269F0" w:rsidP="001269F0">
            <w:pPr>
              <w:jc w:val="center"/>
            </w:pPr>
            <w:r>
              <w:t>Under £11,850</w:t>
            </w:r>
          </w:p>
        </w:tc>
        <w:tc>
          <w:tcPr>
            <w:tcW w:w="1384" w:type="dxa"/>
            <w:vAlign w:val="center"/>
          </w:tcPr>
          <w:p w:rsidR="001269F0" w:rsidRDefault="001269F0" w:rsidP="001269F0">
            <w:pPr>
              <w:jc w:val="center"/>
            </w:pPr>
            <w:r>
              <w:t>0%</w:t>
            </w:r>
          </w:p>
        </w:tc>
        <w:tc>
          <w:tcPr>
            <w:tcW w:w="4626" w:type="dxa"/>
            <w:vAlign w:val="center"/>
          </w:tcPr>
          <w:p w:rsidR="001269F0" w:rsidRDefault="001269F0" w:rsidP="00CD79AC">
            <w:r>
              <w:t>Known as the Personal Allowance</w:t>
            </w:r>
          </w:p>
          <w:p w:rsidR="00CD79AC" w:rsidRDefault="00CD79AC" w:rsidP="00CD79AC">
            <w:r>
              <w:t>May be different for different circumstances, see below</w:t>
            </w:r>
          </w:p>
        </w:tc>
      </w:tr>
      <w:tr w:rsidR="001269F0" w:rsidTr="00CD79AC">
        <w:trPr>
          <w:jc w:val="center"/>
        </w:trPr>
        <w:tc>
          <w:tcPr>
            <w:tcW w:w="3006" w:type="dxa"/>
            <w:vAlign w:val="center"/>
          </w:tcPr>
          <w:p w:rsidR="001269F0" w:rsidRDefault="001269F0" w:rsidP="001269F0">
            <w:pPr>
              <w:jc w:val="center"/>
            </w:pPr>
            <w:r>
              <w:t>£11,850 and up to £46,350</w:t>
            </w:r>
          </w:p>
        </w:tc>
        <w:tc>
          <w:tcPr>
            <w:tcW w:w="1384" w:type="dxa"/>
            <w:vAlign w:val="center"/>
          </w:tcPr>
          <w:p w:rsidR="001269F0" w:rsidRDefault="001269F0" w:rsidP="001269F0">
            <w:pPr>
              <w:jc w:val="center"/>
            </w:pPr>
            <w:r>
              <w:t>20%</w:t>
            </w:r>
          </w:p>
        </w:tc>
        <w:tc>
          <w:tcPr>
            <w:tcW w:w="4626" w:type="dxa"/>
            <w:vAlign w:val="center"/>
          </w:tcPr>
          <w:p w:rsidR="001269F0" w:rsidRDefault="00E82BAA" w:rsidP="00CD79AC">
            <w:r>
              <w:t>Basic rate of tax</w:t>
            </w:r>
          </w:p>
        </w:tc>
      </w:tr>
      <w:tr w:rsidR="001269F0" w:rsidTr="00CD79AC">
        <w:trPr>
          <w:jc w:val="center"/>
        </w:trPr>
        <w:tc>
          <w:tcPr>
            <w:tcW w:w="3006" w:type="dxa"/>
            <w:vAlign w:val="center"/>
          </w:tcPr>
          <w:p w:rsidR="001269F0" w:rsidRDefault="001269F0" w:rsidP="001269F0">
            <w:pPr>
              <w:jc w:val="center"/>
            </w:pPr>
            <w:r>
              <w:t>Above £46,350 and up to £150,000</w:t>
            </w:r>
          </w:p>
        </w:tc>
        <w:tc>
          <w:tcPr>
            <w:tcW w:w="1384" w:type="dxa"/>
            <w:vAlign w:val="center"/>
          </w:tcPr>
          <w:p w:rsidR="001269F0" w:rsidRDefault="001269F0" w:rsidP="001269F0">
            <w:pPr>
              <w:jc w:val="center"/>
            </w:pPr>
            <w:r>
              <w:t>40%</w:t>
            </w:r>
          </w:p>
        </w:tc>
        <w:tc>
          <w:tcPr>
            <w:tcW w:w="4626" w:type="dxa"/>
            <w:vAlign w:val="center"/>
          </w:tcPr>
          <w:p w:rsidR="001269F0" w:rsidRDefault="00E82BAA" w:rsidP="00CD79AC">
            <w:r>
              <w:t>Higher rate of tax</w:t>
            </w:r>
          </w:p>
        </w:tc>
      </w:tr>
      <w:tr w:rsidR="001269F0" w:rsidTr="00CD79AC">
        <w:trPr>
          <w:jc w:val="center"/>
        </w:trPr>
        <w:tc>
          <w:tcPr>
            <w:tcW w:w="3006" w:type="dxa"/>
            <w:vAlign w:val="center"/>
          </w:tcPr>
          <w:p w:rsidR="001269F0" w:rsidRDefault="001269F0" w:rsidP="001269F0">
            <w:pPr>
              <w:jc w:val="center"/>
            </w:pPr>
            <w:r>
              <w:t>Above £150,000</w:t>
            </w:r>
          </w:p>
        </w:tc>
        <w:tc>
          <w:tcPr>
            <w:tcW w:w="1384" w:type="dxa"/>
            <w:vAlign w:val="center"/>
          </w:tcPr>
          <w:p w:rsidR="001269F0" w:rsidRDefault="001269F0" w:rsidP="001269F0">
            <w:pPr>
              <w:jc w:val="center"/>
            </w:pPr>
            <w:r>
              <w:t>45%</w:t>
            </w:r>
          </w:p>
        </w:tc>
        <w:tc>
          <w:tcPr>
            <w:tcW w:w="4626" w:type="dxa"/>
            <w:vAlign w:val="center"/>
          </w:tcPr>
          <w:p w:rsidR="001269F0" w:rsidRDefault="00E82BAA" w:rsidP="00CD79AC">
            <w:r>
              <w:t>Additional rate of tax</w:t>
            </w:r>
          </w:p>
        </w:tc>
      </w:tr>
    </w:tbl>
    <w:p w:rsidR="001269F0" w:rsidRDefault="001269F0" w:rsidP="001269F0">
      <w:pPr>
        <w:spacing w:after="0" w:line="240" w:lineRule="auto"/>
      </w:pPr>
    </w:p>
    <w:p w:rsidR="00CD79AC" w:rsidRDefault="0078043D" w:rsidP="00CD79AC">
      <w:pPr>
        <w:spacing w:after="0" w:line="240" w:lineRule="auto"/>
        <w:jc w:val="center"/>
      </w:pPr>
      <w:r>
        <w:rPr>
          <w:noProof/>
          <w:lang w:eastAsia="en-GB"/>
        </w:rPr>
        <w:drawing>
          <wp:inline distT="0" distB="0" distL="0" distR="0">
            <wp:extent cx="4110725" cy="241151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omeTa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7463" cy="2415463"/>
                    </a:xfrm>
                    <a:prstGeom prst="rect">
                      <a:avLst/>
                    </a:prstGeom>
                  </pic:spPr>
                </pic:pic>
              </a:graphicData>
            </a:graphic>
          </wp:inline>
        </w:drawing>
      </w:r>
    </w:p>
    <w:p w:rsidR="00005519" w:rsidRDefault="00005519">
      <w:r>
        <w:br w:type="page"/>
      </w:r>
    </w:p>
    <w:p w:rsidR="00CA55C7" w:rsidRPr="00CA55C7" w:rsidRDefault="00CA55C7" w:rsidP="00E82BAA">
      <w:pPr>
        <w:spacing w:after="0" w:line="240" w:lineRule="auto"/>
        <w:rPr>
          <w:b/>
        </w:rPr>
      </w:pPr>
      <w:r w:rsidRPr="00CA55C7">
        <w:rPr>
          <w:b/>
        </w:rPr>
        <w:lastRenderedPageBreak/>
        <w:t xml:space="preserve">Calculating Income Tax </w:t>
      </w:r>
    </w:p>
    <w:p w:rsidR="00CA55C7" w:rsidRDefault="00CA55C7" w:rsidP="00E82BAA">
      <w:pPr>
        <w:spacing w:after="0" w:line="240" w:lineRule="auto"/>
      </w:pPr>
    </w:p>
    <w:p w:rsidR="00E82BAA" w:rsidRDefault="0022250C" w:rsidP="00E82BAA">
      <w:pPr>
        <w:spacing w:after="0" w:line="240" w:lineRule="auto"/>
      </w:pPr>
      <w:r>
        <w:t>See separate document for how to calculate income tax.</w:t>
      </w:r>
    </w:p>
    <w:p w:rsidR="0022250C" w:rsidRDefault="0022250C" w:rsidP="00E82BAA">
      <w:pPr>
        <w:spacing w:after="0" w:line="240" w:lineRule="auto"/>
      </w:pPr>
    </w:p>
    <w:p w:rsidR="0022250C" w:rsidRDefault="0022250C" w:rsidP="00E82BAA">
      <w:pPr>
        <w:spacing w:after="0" w:line="240" w:lineRule="auto"/>
      </w:pPr>
      <w:r>
        <w:t xml:space="preserve">Example 1.  An employee earning £30,000 per year and making 5% pension contributions.  </w:t>
      </w:r>
    </w:p>
    <w:p w:rsidR="0022250C" w:rsidRDefault="0022250C" w:rsidP="00E82BAA">
      <w:pPr>
        <w:spacing w:after="0" w:line="240" w:lineRule="auto"/>
      </w:pPr>
    </w:p>
    <w:p w:rsidR="0022250C" w:rsidRDefault="0022250C" w:rsidP="00EC158A">
      <w:pPr>
        <w:pStyle w:val="ListParagraph"/>
        <w:numPr>
          <w:ilvl w:val="0"/>
          <w:numId w:val="6"/>
        </w:numPr>
        <w:spacing w:after="0" w:line="240" w:lineRule="auto"/>
      </w:pPr>
      <w:r>
        <w:t>Total taxable income = £30,000 - £1,500 = £28,500.  (note pension contribution of £1,500)</w:t>
      </w:r>
    </w:p>
    <w:p w:rsidR="0022250C" w:rsidRDefault="0022250C" w:rsidP="00EC158A">
      <w:pPr>
        <w:pStyle w:val="ListParagraph"/>
        <w:numPr>
          <w:ilvl w:val="0"/>
          <w:numId w:val="6"/>
        </w:numPr>
        <w:spacing w:after="0" w:line="240" w:lineRule="auto"/>
      </w:pPr>
      <w:r>
        <w:t xml:space="preserve">This is above the personal allowance but less than </w:t>
      </w:r>
      <w:r w:rsidR="00EC158A">
        <w:t>£46,350</w:t>
      </w:r>
      <w:r>
        <w:t xml:space="preserve"> so all tax will be taken at 20%.</w:t>
      </w:r>
    </w:p>
    <w:p w:rsidR="0022250C" w:rsidRDefault="0022250C" w:rsidP="00EC158A">
      <w:pPr>
        <w:pStyle w:val="ListParagraph"/>
        <w:numPr>
          <w:ilvl w:val="0"/>
          <w:numId w:val="6"/>
        </w:numPr>
        <w:spacing w:after="0" w:line="240" w:lineRule="auto"/>
      </w:pPr>
      <w:r>
        <w:t xml:space="preserve">Less </w:t>
      </w:r>
      <w:r w:rsidR="00EC158A">
        <w:t>p</w:t>
      </w:r>
      <w:r>
        <w:t xml:space="preserve">ersonal </w:t>
      </w:r>
      <w:r w:rsidR="00EC158A">
        <w:t>a</w:t>
      </w:r>
      <w:r>
        <w:t>llowance = £28,500 - £11,850 = £16,650</w:t>
      </w:r>
    </w:p>
    <w:p w:rsidR="0022250C" w:rsidRDefault="0022250C" w:rsidP="00EC158A">
      <w:pPr>
        <w:pStyle w:val="ListParagraph"/>
        <w:numPr>
          <w:ilvl w:val="0"/>
          <w:numId w:val="6"/>
        </w:numPr>
        <w:spacing w:after="0" w:line="240" w:lineRule="auto"/>
      </w:pPr>
      <w:r>
        <w:t>20% of £16,650 = £3,330</w:t>
      </w:r>
    </w:p>
    <w:p w:rsidR="00EC158A" w:rsidRDefault="00EC158A" w:rsidP="00EC158A">
      <w:pPr>
        <w:pStyle w:val="ListParagraph"/>
        <w:numPr>
          <w:ilvl w:val="0"/>
          <w:numId w:val="6"/>
        </w:numPr>
        <w:spacing w:after="0" w:line="240" w:lineRule="auto"/>
      </w:pPr>
      <w:r>
        <w:t>Total income tax = £3,330</w:t>
      </w:r>
    </w:p>
    <w:p w:rsidR="0022250C" w:rsidRDefault="0022250C" w:rsidP="00E82BAA">
      <w:pPr>
        <w:spacing w:after="0" w:line="240" w:lineRule="auto"/>
      </w:pPr>
    </w:p>
    <w:p w:rsidR="0022250C" w:rsidRDefault="0022250C" w:rsidP="00E82BAA">
      <w:pPr>
        <w:spacing w:after="0" w:line="240" w:lineRule="auto"/>
      </w:pPr>
      <w:r>
        <w:t>Example 2</w:t>
      </w:r>
      <w:r w:rsidR="00EC158A">
        <w:t>.</w:t>
      </w:r>
      <w:r>
        <w:t xml:space="preserve">  An employee earning £55,000 and making </w:t>
      </w:r>
      <w:r w:rsidR="00EC158A">
        <w:t>10</w:t>
      </w:r>
      <w:r>
        <w:t>% pension contributions.</w:t>
      </w:r>
    </w:p>
    <w:p w:rsidR="0022250C" w:rsidRDefault="0022250C" w:rsidP="00E82BAA">
      <w:pPr>
        <w:spacing w:after="0" w:line="240" w:lineRule="auto"/>
      </w:pPr>
    </w:p>
    <w:p w:rsidR="0022250C" w:rsidRDefault="0022250C" w:rsidP="00EC158A">
      <w:pPr>
        <w:pStyle w:val="ListParagraph"/>
        <w:numPr>
          <w:ilvl w:val="0"/>
          <w:numId w:val="5"/>
        </w:numPr>
        <w:spacing w:after="0" w:line="240" w:lineRule="auto"/>
      </w:pPr>
      <w:r>
        <w:t>Total taxable income = £55,000 - £</w:t>
      </w:r>
      <w:r w:rsidR="00EC158A">
        <w:t>5</w:t>
      </w:r>
      <w:r>
        <w:t>,</w:t>
      </w:r>
      <w:r w:rsidR="00EC158A">
        <w:t>50</w:t>
      </w:r>
      <w:r>
        <w:t>0 = £</w:t>
      </w:r>
      <w:r w:rsidR="00EC158A">
        <w:t>49</w:t>
      </w:r>
      <w:r>
        <w:t>,5</w:t>
      </w:r>
      <w:r w:rsidR="00EC158A">
        <w:t>0</w:t>
      </w:r>
      <w:r>
        <w:t>0.  (note pension contribution of £</w:t>
      </w:r>
      <w:r w:rsidR="00EC158A">
        <w:t>5,50</w:t>
      </w:r>
      <w:r>
        <w:t>0)</w:t>
      </w:r>
    </w:p>
    <w:p w:rsidR="0022250C" w:rsidRDefault="0022250C" w:rsidP="00EC158A">
      <w:pPr>
        <w:pStyle w:val="ListParagraph"/>
        <w:numPr>
          <w:ilvl w:val="0"/>
          <w:numId w:val="5"/>
        </w:numPr>
        <w:spacing w:after="0" w:line="240" w:lineRule="auto"/>
      </w:pPr>
      <w:r>
        <w:t xml:space="preserve">This is above the basic rate of tax limit so </w:t>
      </w:r>
      <w:r w:rsidR="00EC158A">
        <w:t xml:space="preserve">most </w:t>
      </w:r>
      <w:r>
        <w:t>tax will be paid at 20% and some at 40%.</w:t>
      </w:r>
    </w:p>
    <w:p w:rsidR="0022250C" w:rsidRDefault="0022250C" w:rsidP="00EC158A">
      <w:pPr>
        <w:pStyle w:val="ListParagraph"/>
        <w:numPr>
          <w:ilvl w:val="0"/>
          <w:numId w:val="5"/>
        </w:numPr>
        <w:spacing w:after="0" w:line="240" w:lineRule="auto"/>
      </w:pPr>
      <w:r>
        <w:t>Basic rate = 20% of (£46,350</w:t>
      </w:r>
      <w:r w:rsidR="00EC158A">
        <w:t xml:space="preserve"> - £11,85</w:t>
      </w:r>
      <w:r>
        <w:t>0) = £6,</w:t>
      </w:r>
      <w:r w:rsidR="00EC158A">
        <w:t>90</w:t>
      </w:r>
      <w:r>
        <w:t>0</w:t>
      </w:r>
    </w:p>
    <w:p w:rsidR="0022250C" w:rsidRDefault="0022250C" w:rsidP="00EC158A">
      <w:pPr>
        <w:pStyle w:val="ListParagraph"/>
        <w:numPr>
          <w:ilvl w:val="0"/>
          <w:numId w:val="5"/>
        </w:numPr>
        <w:spacing w:after="0" w:line="240" w:lineRule="auto"/>
      </w:pPr>
      <w:r>
        <w:t>Higher rate = 40% of (£</w:t>
      </w:r>
      <w:r w:rsidR="00EC158A">
        <w:t>49,50</w:t>
      </w:r>
      <w:r>
        <w:t xml:space="preserve">0 - £46,350) = </w:t>
      </w:r>
      <w:r w:rsidR="00EC158A">
        <w:t>£1,260</w:t>
      </w:r>
    </w:p>
    <w:p w:rsidR="00EC158A" w:rsidRDefault="00EC158A" w:rsidP="00EC158A">
      <w:pPr>
        <w:pStyle w:val="ListParagraph"/>
        <w:numPr>
          <w:ilvl w:val="0"/>
          <w:numId w:val="5"/>
        </w:numPr>
        <w:spacing w:after="0" w:line="240" w:lineRule="auto"/>
      </w:pPr>
      <w:r>
        <w:t>Total income tax = £8,160</w:t>
      </w:r>
    </w:p>
    <w:p w:rsidR="00EC158A" w:rsidRDefault="00EC158A" w:rsidP="00E82BAA">
      <w:pPr>
        <w:spacing w:after="0" w:line="240" w:lineRule="auto"/>
      </w:pPr>
    </w:p>
    <w:p w:rsidR="00EC158A" w:rsidRDefault="00EC158A" w:rsidP="00EC158A">
      <w:pPr>
        <w:spacing w:after="0" w:line="240" w:lineRule="auto"/>
      </w:pPr>
      <w:r>
        <w:t>Example 3.  An employee earning £55,000, paying teachers union subscriptions of £183 per annum, having received transfer of marriage allowance and making pension contributions in order to avoid higher rate tax.</w:t>
      </w:r>
      <w:r w:rsidR="007A1CD0">
        <w:t xml:space="preserve">  See notes at end of document for more info on these oddities.</w:t>
      </w:r>
    </w:p>
    <w:p w:rsidR="00EC158A" w:rsidRDefault="00EC158A" w:rsidP="00EC158A">
      <w:pPr>
        <w:spacing w:after="0" w:line="240" w:lineRule="auto"/>
      </w:pPr>
    </w:p>
    <w:p w:rsidR="00EC158A" w:rsidRDefault="00EC158A" w:rsidP="00EC158A">
      <w:pPr>
        <w:pStyle w:val="ListParagraph"/>
        <w:numPr>
          <w:ilvl w:val="0"/>
          <w:numId w:val="4"/>
        </w:numPr>
        <w:spacing w:after="0" w:line="240" w:lineRule="auto"/>
      </w:pPr>
      <w:r>
        <w:t xml:space="preserve">Pension contributions required = £55,000 - £183 - £46,350 = </w:t>
      </w:r>
      <w:r w:rsidR="00ED74CD">
        <w:t xml:space="preserve">£8,467 </w:t>
      </w:r>
      <w:r>
        <w:t>(this is approx. 15%)</w:t>
      </w:r>
    </w:p>
    <w:p w:rsidR="00EC158A" w:rsidRDefault="00EC158A" w:rsidP="00EC158A">
      <w:pPr>
        <w:pStyle w:val="ListParagraph"/>
        <w:numPr>
          <w:ilvl w:val="0"/>
          <w:numId w:val="4"/>
        </w:numPr>
        <w:spacing w:after="0" w:line="240" w:lineRule="auto"/>
      </w:pPr>
      <w:r>
        <w:t>Total taxable income = £46,350</w:t>
      </w:r>
    </w:p>
    <w:p w:rsidR="00EC158A" w:rsidRDefault="00EC158A" w:rsidP="00EC158A">
      <w:pPr>
        <w:pStyle w:val="ListParagraph"/>
        <w:numPr>
          <w:ilvl w:val="0"/>
          <w:numId w:val="4"/>
        </w:numPr>
        <w:spacing w:after="0" w:line="240" w:lineRule="auto"/>
      </w:pPr>
      <w:r>
        <w:t>All at 20%.</w:t>
      </w:r>
    </w:p>
    <w:p w:rsidR="00EC158A" w:rsidRDefault="00EC158A" w:rsidP="00EC158A">
      <w:pPr>
        <w:pStyle w:val="ListParagraph"/>
        <w:numPr>
          <w:ilvl w:val="0"/>
          <w:numId w:val="4"/>
        </w:numPr>
        <w:spacing w:after="0" w:line="240" w:lineRule="auto"/>
      </w:pPr>
      <w:r>
        <w:t>Increased personal allowance due to transfer of marriage allowance = £11,800 + £1,190 = £13,040</w:t>
      </w:r>
    </w:p>
    <w:p w:rsidR="00EC158A" w:rsidRDefault="00EC158A" w:rsidP="00EC158A">
      <w:pPr>
        <w:pStyle w:val="ListParagraph"/>
        <w:numPr>
          <w:ilvl w:val="0"/>
          <w:numId w:val="4"/>
        </w:numPr>
        <w:spacing w:after="0" w:line="240" w:lineRule="auto"/>
      </w:pPr>
      <w:r>
        <w:t>Basic rate = 20% of (£46,350 - £13,040) = £6,662</w:t>
      </w:r>
    </w:p>
    <w:p w:rsidR="00EC158A" w:rsidRDefault="00EC158A" w:rsidP="00EC158A">
      <w:pPr>
        <w:pStyle w:val="ListParagraph"/>
        <w:numPr>
          <w:ilvl w:val="0"/>
          <w:numId w:val="4"/>
        </w:numPr>
        <w:spacing w:after="0" w:line="240" w:lineRule="auto"/>
      </w:pPr>
      <w:r>
        <w:t>Total income tax = £6,662</w:t>
      </w:r>
    </w:p>
    <w:p w:rsidR="00EC158A" w:rsidRDefault="00EC158A" w:rsidP="00EC158A">
      <w:pPr>
        <w:spacing w:after="0" w:line="240" w:lineRule="auto"/>
      </w:pPr>
    </w:p>
    <w:p w:rsidR="00EC158A" w:rsidRDefault="00EC158A" w:rsidP="00EC158A">
      <w:pPr>
        <w:spacing w:after="0" w:line="240" w:lineRule="auto"/>
      </w:pPr>
      <w:r>
        <w:t>Note example 3 vs example 2.  Example 3 pays £1,498 less tax and £2,917 more pension.  Effectively, doubling the value of the voluntary pension contribution.</w:t>
      </w:r>
    </w:p>
    <w:p w:rsidR="00EC158A" w:rsidRDefault="00EC158A" w:rsidP="00E82BAA">
      <w:pPr>
        <w:spacing w:after="0" w:line="240" w:lineRule="auto"/>
      </w:pPr>
    </w:p>
    <w:p w:rsidR="00E82BAA" w:rsidRDefault="00CA55C7" w:rsidP="00E82BAA">
      <w:pPr>
        <w:spacing w:after="0" w:line="240" w:lineRule="auto"/>
      </w:pPr>
      <w:r>
        <w:t xml:space="preserve">Graph below shows amount of income tax paid, and from which brackets, for different incomes up to £200,000 </w:t>
      </w:r>
    </w:p>
    <w:p w:rsidR="00864AAC" w:rsidRDefault="00864AAC" w:rsidP="00E82BAA">
      <w:pPr>
        <w:spacing w:after="0" w:line="240" w:lineRule="auto"/>
      </w:pPr>
    </w:p>
    <w:p w:rsidR="00CA55C7" w:rsidRDefault="00CD79AC" w:rsidP="00ED74CD">
      <w:pPr>
        <w:spacing w:after="0" w:line="240" w:lineRule="auto"/>
        <w:jc w:val="center"/>
      </w:pPr>
      <w:r>
        <w:rPr>
          <w:noProof/>
          <w:lang w:eastAsia="en-GB"/>
        </w:rPr>
        <w:drawing>
          <wp:inline distT="0" distB="0" distL="0" distR="0">
            <wp:extent cx="5731510" cy="26714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omeTax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671445"/>
                    </a:xfrm>
                    <a:prstGeom prst="rect">
                      <a:avLst/>
                    </a:prstGeom>
                  </pic:spPr>
                </pic:pic>
              </a:graphicData>
            </a:graphic>
          </wp:inline>
        </w:drawing>
      </w:r>
      <w:r w:rsidR="00CA55C7">
        <w:br w:type="page"/>
      </w:r>
    </w:p>
    <w:p w:rsidR="00CD79AC" w:rsidRPr="00CA55C7" w:rsidRDefault="00CC3DB9" w:rsidP="001269F0">
      <w:pPr>
        <w:spacing w:after="0" w:line="240" w:lineRule="auto"/>
        <w:rPr>
          <w:b/>
        </w:rPr>
      </w:pPr>
      <w:r w:rsidRPr="00CA55C7">
        <w:rPr>
          <w:b/>
        </w:rPr>
        <w:lastRenderedPageBreak/>
        <w:t>What is PAYE?</w:t>
      </w:r>
    </w:p>
    <w:p w:rsidR="00CC3DB9" w:rsidRDefault="00CC3DB9" w:rsidP="001269F0">
      <w:pPr>
        <w:spacing w:after="0" w:line="240" w:lineRule="auto"/>
      </w:pPr>
    </w:p>
    <w:p w:rsidR="00CA55C7" w:rsidRDefault="00CC3DB9" w:rsidP="001269F0">
      <w:pPr>
        <w:spacing w:after="0" w:line="240" w:lineRule="auto"/>
      </w:pPr>
      <w:r>
        <w:t xml:space="preserve">PAYE stands for </w:t>
      </w:r>
      <w:r w:rsidRPr="00CA55C7">
        <w:rPr>
          <w:i/>
        </w:rPr>
        <w:t xml:space="preserve">Pay </w:t>
      </w:r>
      <w:proofErr w:type="gramStart"/>
      <w:r w:rsidRPr="00CA55C7">
        <w:rPr>
          <w:i/>
        </w:rPr>
        <w:t>As</w:t>
      </w:r>
      <w:proofErr w:type="gramEnd"/>
      <w:r w:rsidRPr="00CA55C7">
        <w:rPr>
          <w:i/>
        </w:rPr>
        <w:t xml:space="preserve"> You Earn</w:t>
      </w:r>
      <w:r>
        <w:t xml:space="preserve"> and is the method by which employers deduct income tax from an employee’s salary, and pass it onto the government, before they get paid.  </w:t>
      </w:r>
      <w:r w:rsidR="00CA55C7">
        <w:t xml:space="preserve">It effectively automates tax payments of employees.  </w:t>
      </w:r>
    </w:p>
    <w:p w:rsidR="00CA55C7" w:rsidRDefault="00CA55C7" w:rsidP="001269F0">
      <w:pPr>
        <w:spacing w:after="0" w:line="240" w:lineRule="auto"/>
      </w:pPr>
    </w:p>
    <w:p w:rsidR="00CC3DB9" w:rsidRDefault="00CA55C7" w:rsidP="001269F0">
      <w:pPr>
        <w:spacing w:after="0" w:line="240" w:lineRule="auto"/>
      </w:pPr>
      <w:r>
        <w:t xml:space="preserve">PAYE does not cover income tax payments of self-employed people nor income tax payments due on other incomes of employed people.  This is done via income tax self-assessment tax returns.   </w:t>
      </w:r>
    </w:p>
    <w:p w:rsidR="00CD79AC" w:rsidRDefault="00CD79AC" w:rsidP="00CD79AC">
      <w:pPr>
        <w:spacing w:after="0" w:line="240" w:lineRule="auto"/>
      </w:pPr>
    </w:p>
    <w:p w:rsidR="00456359" w:rsidRPr="00456359" w:rsidRDefault="00456359" w:rsidP="00456359">
      <w:pPr>
        <w:spacing w:after="0" w:line="240" w:lineRule="auto"/>
        <w:rPr>
          <w:b/>
        </w:rPr>
      </w:pPr>
      <w:r w:rsidRPr="00456359">
        <w:rPr>
          <w:b/>
        </w:rPr>
        <w:t>Calculating PAYE</w:t>
      </w:r>
    </w:p>
    <w:p w:rsidR="00CC3DB9" w:rsidRDefault="00CC3DB9" w:rsidP="00CD79AC">
      <w:pPr>
        <w:spacing w:after="0" w:line="240" w:lineRule="auto"/>
      </w:pPr>
    </w:p>
    <w:p w:rsidR="00EC158A" w:rsidRDefault="00EC158A" w:rsidP="00CD79AC">
      <w:pPr>
        <w:spacing w:after="0" w:line="240" w:lineRule="auto"/>
      </w:pPr>
      <w:proofErr w:type="gramStart"/>
      <w:r w:rsidRPr="00EC158A">
        <w:rPr>
          <w:rFonts w:ascii="Cambria Math" w:hAnsi="Cambria Math"/>
          <w:i/>
        </w:rPr>
        <w:t>n</w:t>
      </w:r>
      <w:r>
        <w:t xml:space="preserve">  =</w:t>
      </w:r>
      <w:proofErr w:type="gramEnd"/>
      <w:r>
        <w:t xml:space="preserve"> Number of pay periods remaining in tax year</w:t>
      </w:r>
    </w:p>
    <w:p w:rsidR="00EC158A" w:rsidRDefault="00EC158A" w:rsidP="00CD79AC">
      <w:pPr>
        <w:spacing w:after="0" w:line="240" w:lineRule="auto"/>
        <w:rPr>
          <w:vertAlign w:val="subscript"/>
        </w:rPr>
      </w:pPr>
    </w:p>
    <w:p w:rsidR="00EC158A" w:rsidRPr="00EC158A" w:rsidRDefault="00EC158A" w:rsidP="00CD79AC">
      <w:pPr>
        <w:spacing w:after="0" w:line="240" w:lineRule="auto"/>
        <w:rPr>
          <w:rFonts w:eastAsiaTheme="minorEastAsia"/>
        </w:rPr>
      </w:pPr>
      <m:oMathPara>
        <m:oMath>
          <m:r>
            <w:rPr>
              <w:rFonts w:ascii="Cambria Math" w:hAnsi="Cambria Math" w:cstheme="minorHAnsi"/>
            </w:rPr>
            <m:t>Tax due this period =</m:t>
          </m:r>
        </m:oMath>
      </m:oMathPara>
    </w:p>
    <w:p w:rsidR="00EC158A" w:rsidRPr="00EC158A" w:rsidRDefault="00EC158A" w:rsidP="00CD79AC">
      <w:pPr>
        <w:spacing w:after="0" w:line="240" w:lineRule="auto"/>
        <w:rPr>
          <w:rFonts w:eastAsiaTheme="minorEastAsia"/>
        </w:rPr>
      </w:pPr>
    </w:p>
    <w:p w:rsidR="00CA55C7" w:rsidRPr="00EC158A" w:rsidRDefault="00D86179" w:rsidP="00CD79AC">
      <w:pPr>
        <w:spacing w:after="0" w:line="240" w:lineRule="auto"/>
        <w:rPr>
          <w:rFonts w:cstheme="minorHAnsi"/>
          <w:i/>
        </w:rPr>
      </w:pPr>
      <m:oMathPara>
        <m:oMath>
          <m:f>
            <m:fPr>
              <m:ctrlPr>
                <w:rPr>
                  <w:rFonts w:ascii="Cambria Math" w:eastAsiaTheme="minorEastAsia" w:hAnsi="Cambria Math" w:cstheme="minorHAnsi"/>
                  <w:i/>
                </w:rPr>
              </m:ctrlPr>
            </m:fPr>
            <m:num>
              <m:d>
                <m:dPr>
                  <m:begChr m:val="["/>
                  <m:endChr m:val="]"/>
                  <m:ctrlPr>
                    <w:rPr>
                      <w:rFonts w:ascii="Cambria Math" w:eastAsiaTheme="minorEastAsia" w:hAnsi="Cambria Math" w:cstheme="minorHAnsi"/>
                      <w:i/>
                    </w:rPr>
                  </m:ctrlPr>
                </m:dPr>
                <m:e>
                  <m:r>
                    <w:rPr>
                      <w:rFonts w:ascii="Cambria Math" w:eastAsiaTheme="minorEastAsia" w:hAnsi="Cambria Math" w:cstheme="minorHAnsi"/>
                    </w:rPr>
                    <m:t>tax due on</m:t>
                  </m:r>
                  <m:d>
                    <m:dPr>
                      <m:ctrlPr>
                        <w:rPr>
                          <w:rFonts w:ascii="Cambria Math" w:eastAsiaTheme="minorEastAsia" w:hAnsi="Cambria Math" w:cstheme="minorHAnsi"/>
                          <w:i/>
                        </w:rPr>
                      </m:ctrlPr>
                    </m:dPr>
                    <m:e>
                      <m:r>
                        <w:rPr>
                          <w:rFonts w:ascii="Cambria Math" w:eastAsiaTheme="minorEastAsia" w:hAnsi="Cambria Math" w:cstheme="minorHAnsi"/>
                        </w:rPr>
                        <m:t>income to date+</m:t>
                      </m:r>
                      <m:r>
                        <m:rPr>
                          <m:sty m:val="bi"/>
                        </m:rPr>
                        <w:rPr>
                          <w:rFonts w:ascii="Cambria Math" w:eastAsiaTheme="minorEastAsia" w:hAnsi="Cambria Math" w:cstheme="minorHAnsi"/>
                          <w:color w:val="FF0000"/>
                        </w:rPr>
                        <m:t>n×income this period</m:t>
                      </m:r>
                    </m:e>
                  </m:d>
                </m:e>
              </m:d>
              <m:r>
                <w:rPr>
                  <w:rFonts w:ascii="Cambria Math" w:eastAsiaTheme="minorEastAsia" w:hAnsi="Cambria Math" w:cstheme="minorHAnsi"/>
                </w:rPr>
                <m:t>-tax paid to date</m:t>
              </m:r>
            </m:num>
            <m:den>
              <m:r>
                <w:rPr>
                  <w:rFonts w:ascii="Cambria Math" w:eastAsiaTheme="minorEastAsia" w:hAnsi="Cambria Math" w:cstheme="minorHAnsi"/>
                </w:rPr>
                <m:t>n</m:t>
              </m:r>
            </m:den>
          </m:f>
        </m:oMath>
      </m:oMathPara>
    </w:p>
    <w:p w:rsidR="00EC158A" w:rsidRDefault="00EC158A" w:rsidP="00CD79AC">
      <w:pPr>
        <w:spacing w:after="0" w:line="240" w:lineRule="auto"/>
      </w:pPr>
    </w:p>
    <w:p w:rsidR="00EC158A" w:rsidRDefault="00EC158A" w:rsidP="00CD79AC">
      <w:pPr>
        <w:spacing w:after="0" w:line="240" w:lineRule="auto"/>
        <w:rPr>
          <w:rFonts w:cstheme="minorHAnsi"/>
        </w:rPr>
      </w:pPr>
      <w:r>
        <w:t>The crucial part of the equation above is the part in red “</w:t>
      </w:r>
      <m:oMath>
        <m:r>
          <m:rPr>
            <m:sty m:val="bi"/>
          </m:rPr>
          <w:rPr>
            <w:rFonts w:ascii="Cambria Math" w:eastAsiaTheme="minorEastAsia" w:hAnsi="Cambria Math" w:cstheme="minorHAnsi"/>
            <w:color w:val="FF0000"/>
          </w:rPr>
          <m:t>n×income this period</m:t>
        </m:r>
      </m:oMath>
      <w:r>
        <w:rPr>
          <w:rFonts w:cstheme="minorHAnsi"/>
        </w:rPr>
        <w:t xml:space="preserve">”.  This is best explained via the example of someone earning overtime in May whilst April and June remain at their normal level.  Let’s assume regular </w:t>
      </w:r>
      <w:r w:rsidR="007A1CD0">
        <w:rPr>
          <w:rFonts w:cstheme="minorHAnsi"/>
        </w:rPr>
        <w:t xml:space="preserve">taxable </w:t>
      </w:r>
      <w:r>
        <w:rPr>
          <w:rFonts w:cstheme="minorHAnsi"/>
        </w:rPr>
        <w:t xml:space="preserve">pay of £30,000 </w:t>
      </w:r>
      <w:r w:rsidR="007A1CD0">
        <w:rPr>
          <w:rFonts w:cstheme="minorHAnsi"/>
        </w:rPr>
        <w:t xml:space="preserve">per annum less 5% pension (£2,375 per month) </w:t>
      </w:r>
      <w:r>
        <w:rPr>
          <w:rFonts w:cstheme="minorHAnsi"/>
        </w:rPr>
        <w:t xml:space="preserve">and </w:t>
      </w:r>
      <w:r w:rsidR="007A1CD0">
        <w:rPr>
          <w:rFonts w:cstheme="minorHAnsi"/>
        </w:rPr>
        <w:t>overtime earnings of £1,000 in June (incurring increased pension payment of £50).</w:t>
      </w:r>
    </w:p>
    <w:p w:rsidR="007A1CD0" w:rsidRDefault="007A1CD0" w:rsidP="00CD79AC">
      <w:pPr>
        <w:spacing w:after="0" w:line="240" w:lineRule="auto"/>
        <w:rPr>
          <w:rFonts w:cstheme="minorHAnsi"/>
        </w:rPr>
      </w:pPr>
    </w:p>
    <w:p w:rsidR="007A1CD0" w:rsidRPr="007A1CD0" w:rsidRDefault="007A1CD0" w:rsidP="007A1CD0">
      <w:pPr>
        <w:pStyle w:val="ListParagraph"/>
        <w:numPr>
          <w:ilvl w:val="0"/>
          <w:numId w:val="7"/>
        </w:numPr>
        <w:spacing w:after="0" w:line="240" w:lineRule="auto"/>
        <w:ind w:left="360"/>
        <w:rPr>
          <w:rFonts w:eastAsiaTheme="minorEastAsia" w:cstheme="minorHAnsi"/>
        </w:rPr>
      </w:pPr>
      <w:r w:rsidRPr="007A1CD0">
        <w:rPr>
          <w:rFonts w:cstheme="minorHAnsi"/>
        </w:rPr>
        <w:t xml:space="preserve">Income tax in April = </w:t>
      </w:r>
      <m:oMath>
        <m:r>
          <m:rPr>
            <m:sty m:val="p"/>
          </m:rPr>
          <w:rPr>
            <w:rFonts w:ascii="Cambria Math" w:eastAsiaTheme="minorEastAsia" w:hAnsi="Cambria Math" w:cstheme="minorHAnsi"/>
          </w:rPr>
          <w:br/>
        </m:r>
      </m:oMath>
      <m:oMathPara>
        <m:oMath>
          <m:f>
            <m:fPr>
              <m:ctrlPr>
                <w:rPr>
                  <w:rFonts w:ascii="Cambria Math" w:eastAsiaTheme="minorEastAsia" w:hAnsi="Cambria Math" w:cstheme="minorHAnsi"/>
                  <w:i/>
                </w:rPr>
              </m:ctrlPr>
            </m:fPr>
            <m:num>
              <m:d>
                <m:dPr>
                  <m:begChr m:val="["/>
                  <m:endChr m:val="]"/>
                  <m:ctrlPr>
                    <w:rPr>
                      <w:rFonts w:ascii="Cambria Math" w:eastAsiaTheme="minorEastAsia" w:hAnsi="Cambria Math" w:cstheme="minorHAnsi"/>
                      <w:i/>
                    </w:rPr>
                  </m:ctrlPr>
                </m:dPr>
                <m:e>
                  <m:r>
                    <w:rPr>
                      <w:rFonts w:ascii="Cambria Math" w:eastAsiaTheme="minorEastAsia" w:hAnsi="Cambria Math" w:cstheme="minorHAnsi"/>
                    </w:rPr>
                    <m:t>tax due on</m:t>
                  </m:r>
                  <m:d>
                    <m:dPr>
                      <m:ctrlPr>
                        <w:rPr>
                          <w:rFonts w:ascii="Cambria Math" w:eastAsiaTheme="minorEastAsia" w:hAnsi="Cambria Math" w:cstheme="minorHAnsi"/>
                          <w:i/>
                        </w:rPr>
                      </m:ctrlPr>
                    </m:dPr>
                    <m:e>
                      <m:r>
                        <w:rPr>
                          <w:rFonts w:ascii="Cambria Math" w:eastAsiaTheme="minorEastAsia" w:hAnsi="Cambria Math" w:cstheme="minorHAnsi"/>
                        </w:rPr>
                        <m:t>£0+</m:t>
                      </m:r>
                      <m:r>
                        <m:rPr>
                          <m:sty m:val="bi"/>
                        </m:rPr>
                        <w:rPr>
                          <w:rFonts w:ascii="Cambria Math" w:eastAsiaTheme="minorEastAsia" w:hAnsi="Cambria Math" w:cstheme="minorHAnsi"/>
                          <w:color w:val="FF0000"/>
                        </w:rPr>
                        <m:t>12×£2,375</m:t>
                      </m:r>
                    </m:e>
                  </m:d>
                </m:e>
              </m:d>
              <m:r>
                <w:rPr>
                  <w:rFonts w:ascii="Cambria Math" w:eastAsiaTheme="minorEastAsia" w:hAnsi="Cambria Math" w:cstheme="minorHAnsi"/>
                </w:rPr>
                <m:t>-£0</m:t>
              </m:r>
            </m:num>
            <m:den>
              <m:r>
                <w:rPr>
                  <w:rFonts w:ascii="Cambria Math" w:eastAsiaTheme="minorEastAsia" w:hAnsi="Cambria Math" w:cstheme="minorHAnsi"/>
                </w:rPr>
                <m:t>12</m:t>
              </m:r>
            </m:den>
          </m:f>
          <m:r>
            <w:rPr>
              <w:rFonts w:ascii="Cambria Math" w:eastAsiaTheme="minorEastAsia" w:hAnsi="Cambria Math" w:cstheme="minorHAnsi"/>
            </w:rPr>
            <m:t xml:space="preserve">=tax due on </m:t>
          </m:r>
          <m:r>
            <m:rPr>
              <m:sty m:val="bi"/>
            </m:rPr>
            <w:rPr>
              <w:rFonts w:ascii="Cambria Math" w:eastAsiaTheme="minorEastAsia" w:hAnsi="Cambria Math" w:cstheme="minorHAnsi"/>
              <w:color w:val="FF0000"/>
            </w:rPr>
            <m:t>£2,375</m:t>
          </m:r>
          <m:r>
            <w:rPr>
              <w:rFonts w:ascii="Cambria Math" w:eastAsiaTheme="minorEastAsia" w:hAnsi="Cambria Math" w:cstheme="minorHAnsi"/>
            </w:rPr>
            <m:t>=£277.50</m:t>
          </m:r>
        </m:oMath>
      </m:oMathPara>
    </w:p>
    <w:p w:rsidR="007A1CD0" w:rsidRDefault="007A1CD0" w:rsidP="007A1CD0">
      <w:pPr>
        <w:spacing w:after="0" w:line="240" w:lineRule="auto"/>
        <w:rPr>
          <w:rFonts w:eastAsiaTheme="minorEastAsia" w:cstheme="minorHAnsi"/>
        </w:rPr>
      </w:pPr>
    </w:p>
    <w:p w:rsidR="00EC158A" w:rsidRPr="007A1CD0" w:rsidRDefault="007A1CD0" w:rsidP="007A1CD0">
      <w:pPr>
        <w:pStyle w:val="ListParagraph"/>
        <w:spacing w:after="0" w:line="240" w:lineRule="auto"/>
        <w:ind w:left="360"/>
        <w:rPr>
          <w:rFonts w:cstheme="minorHAnsi"/>
        </w:rPr>
      </w:pPr>
      <w:r w:rsidRPr="007A1CD0">
        <w:rPr>
          <w:rFonts w:eastAsiaTheme="minorEastAsia" w:cstheme="minorHAnsi"/>
        </w:rPr>
        <w:t xml:space="preserve">Note that </w:t>
      </w:r>
      <m:oMath>
        <m:r>
          <w:rPr>
            <w:rFonts w:ascii="Cambria Math" w:eastAsiaTheme="minorEastAsia" w:hAnsi="Cambria Math" w:cstheme="minorHAnsi"/>
          </w:rPr>
          <m:t>12×£2,375=£28,500</m:t>
        </m:r>
      </m:oMath>
      <w:r w:rsidRPr="007A1CD0">
        <w:rPr>
          <w:rFonts w:cstheme="minorHAnsi"/>
        </w:rPr>
        <w:t>.</w:t>
      </w:r>
    </w:p>
    <w:p w:rsidR="007A1CD0" w:rsidRDefault="007A1CD0" w:rsidP="007A1CD0">
      <w:pPr>
        <w:spacing w:after="0" w:line="240" w:lineRule="auto"/>
        <w:rPr>
          <w:rFonts w:cstheme="minorHAnsi"/>
        </w:rPr>
      </w:pPr>
    </w:p>
    <w:p w:rsidR="007A1CD0" w:rsidRPr="007A1CD0" w:rsidRDefault="007A1CD0" w:rsidP="007A1CD0">
      <w:pPr>
        <w:pStyle w:val="ListParagraph"/>
        <w:numPr>
          <w:ilvl w:val="0"/>
          <w:numId w:val="7"/>
        </w:numPr>
        <w:spacing w:after="0" w:line="240" w:lineRule="auto"/>
        <w:ind w:left="360"/>
        <w:rPr>
          <w:rFonts w:cstheme="minorHAnsi"/>
          <w:i/>
        </w:rPr>
      </w:pPr>
      <w:r w:rsidRPr="007A1CD0">
        <w:rPr>
          <w:rFonts w:cstheme="minorHAnsi"/>
        </w:rPr>
        <w:t xml:space="preserve">Income tax in May = </w:t>
      </w:r>
      <m:oMath>
        <m:r>
          <m:rPr>
            <m:sty m:val="p"/>
          </m:rPr>
          <w:rPr>
            <w:rFonts w:ascii="Cambria Math" w:eastAsiaTheme="minorEastAsia" w:hAnsi="Cambria Math" w:cstheme="minorHAnsi"/>
          </w:rPr>
          <w:br/>
        </m:r>
      </m:oMath>
      <m:oMathPara>
        <m:oMath>
          <m:f>
            <m:fPr>
              <m:ctrlPr>
                <w:rPr>
                  <w:rFonts w:ascii="Cambria Math" w:eastAsiaTheme="minorEastAsia" w:hAnsi="Cambria Math" w:cstheme="minorHAnsi"/>
                  <w:i/>
                </w:rPr>
              </m:ctrlPr>
            </m:fPr>
            <m:num>
              <m:d>
                <m:dPr>
                  <m:begChr m:val="["/>
                  <m:endChr m:val="]"/>
                  <m:ctrlPr>
                    <w:rPr>
                      <w:rFonts w:ascii="Cambria Math" w:eastAsiaTheme="minorEastAsia" w:hAnsi="Cambria Math" w:cstheme="minorHAnsi"/>
                      <w:i/>
                    </w:rPr>
                  </m:ctrlPr>
                </m:dPr>
                <m:e>
                  <m:r>
                    <w:rPr>
                      <w:rFonts w:ascii="Cambria Math" w:eastAsiaTheme="minorEastAsia" w:hAnsi="Cambria Math" w:cstheme="minorHAnsi"/>
                    </w:rPr>
                    <m:t>tax due on</m:t>
                  </m:r>
                  <m:d>
                    <m:dPr>
                      <m:ctrlPr>
                        <w:rPr>
                          <w:rFonts w:ascii="Cambria Math" w:eastAsiaTheme="minorEastAsia" w:hAnsi="Cambria Math" w:cstheme="minorHAnsi"/>
                          <w:i/>
                        </w:rPr>
                      </m:ctrlPr>
                    </m:dPr>
                    <m:e>
                      <m:r>
                        <w:rPr>
                          <w:rFonts w:ascii="Cambria Math" w:eastAsiaTheme="minorEastAsia" w:hAnsi="Cambria Math" w:cstheme="minorHAnsi"/>
                        </w:rPr>
                        <m:t>£2,375+</m:t>
                      </m:r>
                      <m:r>
                        <m:rPr>
                          <m:sty m:val="bi"/>
                        </m:rPr>
                        <w:rPr>
                          <w:rFonts w:ascii="Cambria Math" w:eastAsiaTheme="minorEastAsia" w:hAnsi="Cambria Math" w:cstheme="minorHAnsi"/>
                          <w:color w:val="FF0000"/>
                        </w:rPr>
                        <m:t>11×£3,325</m:t>
                      </m:r>
                    </m:e>
                  </m:d>
                </m:e>
              </m:d>
              <m:r>
                <w:rPr>
                  <w:rFonts w:ascii="Cambria Math" w:eastAsiaTheme="minorEastAsia" w:hAnsi="Cambria Math" w:cstheme="minorHAnsi"/>
                </w:rPr>
                <m:t>-£277.50</m:t>
              </m:r>
            </m:num>
            <m:den>
              <m:r>
                <w:rPr>
                  <w:rFonts w:ascii="Cambria Math" w:eastAsiaTheme="minorEastAsia" w:hAnsi="Cambria Math" w:cstheme="minorHAnsi"/>
                </w:rPr>
                <m:t>11</m:t>
              </m:r>
            </m:den>
          </m:f>
          <m:r>
            <w:rPr>
              <w:rFonts w:ascii="Cambria Math" w:eastAsiaTheme="minorEastAsia" w:hAnsi="Cambria Math" w:cstheme="minorHAnsi"/>
            </w:rPr>
            <m:t>=£467.50</m:t>
          </m:r>
        </m:oMath>
      </m:oMathPara>
    </w:p>
    <w:p w:rsidR="007A1CD0" w:rsidRDefault="007A1CD0" w:rsidP="007A1CD0">
      <w:pPr>
        <w:spacing w:after="0" w:line="240" w:lineRule="auto"/>
        <w:rPr>
          <w:rFonts w:cstheme="minorHAnsi"/>
        </w:rPr>
      </w:pPr>
    </w:p>
    <w:p w:rsidR="007A1CD0" w:rsidRPr="007A1CD0" w:rsidRDefault="007A1CD0" w:rsidP="007A1CD0">
      <w:pPr>
        <w:pStyle w:val="ListParagraph"/>
        <w:spacing w:after="0" w:line="240" w:lineRule="auto"/>
        <w:ind w:left="360"/>
        <w:rPr>
          <w:rFonts w:cstheme="minorHAnsi"/>
        </w:rPr>
      </w:pPr>
      <w:r w:rsidRPr="007A1CD0">
        <w:rPr>
          <w:rFonts w:eastAsiaTheme="minorEastAsia" w:cstheme="minorHAnsi"/>
        </w:rPr>
        <w:t xml:space="preserve">Note that </w:t>
      </w:r>
      <m:oMath>
        <m:r>
          <w:rPr>
            <w:rFonts w:ascii="Cambria Math" w:eastAsiaTheme="minorEastAsia" w:hAnsi="Cambria Math" w:cstheme="minorHAnsi"/>
          </w:rPr>
          <m:t>£2,375+11×£3,325=£38,950</m:t>
        </m:r>
      </m:oMath>
      <w:r w:rsidRPr="007A1CD0">
        <w:rPr>
          <w:rFonts w:eastAsiaTheme="minorEastAsia" w:cstheme="minorHAnsi"/>
        </w:rPr>
        <w:t xml:space="preserve"> since the calculation a</w:t>
      </w:r>
      <w:r>
        <w:rPr>
          <w:rFonts w:eastAsiaTheme="minorEastAsia" w:cstheme="minorHAnsi"/>
        </w:rPr>
        <w:t>ssumes</w:t>
      </w:r>
      <w:r w:rsidRPr="007A1CD0">
        <w:rPr>
          <w:rFonts w:eastAsiaTheme="minorEastAsia" w:cstheme="minorHAnsi"/>
        </w:rPr>
        <w:t xml:space="preserve"> that earnings would continue at this rate</w:t>
      </w:r>
      <w:r w:rsidRPr="007A1CD0">
        <w:rPr>
          <w:rFonts w:cstheme="minorHAnsi"/>
        </w:rPr>
        <w:t>.</w:t>
      </w:r>
    </w:p>
    <w:p w:rsidR="007A1CD0" w:rsidRDefault="007A1CD0" w:rsidP="007A1CD0">
      <w:pPr>
        <w:spacing w:after="0" w:line="240" w:lineRule="auto"/>
        <w:rPr>
          <w:rFonts w:cstheme="minorHAnsi"/>
        </w:rPr>
      </w:pPr>
    </w:p>
    <w:p w:rsidR="007A1CD0" w:rsidRPr="007A1CD0" w:rsidRDefault="007A1CD0" w:rsidP="007A1CD0">
      <w:pPr>
        <w:pStyle w:val="ListParagraph"/>
        <w:numPr>
          <w:ilvl w:val="0"/>
          <w:numId w:val="7"/>
        </w:numPr>
        <w:spacing w:after="0" w:line="240" w:lineRule="auto"/>
        <w:ind w:left="360"/>
        <w:rPr>
          <w:rFonts w:cstheme="minorHAnsi"/>
          <w:i/>
        </w:rPr>
      </w:pPr>
      <w:r w:rsidRPr="007A1CD0">
        <w:rPr>
          <w:rFonts w:cstheme="minorHAnsi"/>
        </w:rPr>
        <w:t xml:space="preserve">Income tax in June = </w:t>
      </w:r>
      <m:oMath>
        <m:r>
          <m:rPr>
            <m:sty m:val="p"/>
          </m:rPr>
          <w:rPr>
            <w:rFonts w:ascii="Cambria Math" w:eastAsiaTheme="minorEastAsia" w:hAnsi="Cambria Math" w:cstheme="minorHAnsi"/>
          </w:rPr>
          <w:br/>
        </m:r>
      </m:oMath>
      <m:oMathPara>
        <m:oMath>
          <m:f>
            <m:fPr>
              <m:ctrlPr>
                <w:rPr>
                  <w:rFonts w:ascii="Cambria Math" w:eastAsiaTheme="minorEastAsia" w:hAnsi="Cambria Math" w:cstheme="minorHAnsi"/>
                  <w:i/>
                </w:rPr>
              </m:ctrlPr>
            </m:fPr>
            <m:num>
              <m:d>
                <m:dPr>
                  <m:begChr m:val="["/>
                  <m:endChr m:val="]"/>
                  <m:ctrlPr>
                    <w:rPr>
                      <w:rFonts w:ascii="Cambria Math" w:eastAsiaTheme="minorEastAsia" w:hAnsi="Cambria Math" w:cstheme="minorHAnsi"/>
                      <w:i/>
                    </w:rPr>
                  </m:ctrlPr>
                </m:dPr>
                <m:e>
                  <m:r>
                    <w:rPr>
                      <w:rFonts w:ascii="Cambria Math" w:eastAsiaTheme="minorEastAsia" w:hAnsi="Cambria Math" w:cstheme="minorHAnsi"/>
                    </w:rPr>
                    <m:t>tax due on</m:t>
                  </m:r>
                  <m:d>
                    <m:dPr>
                      <m:ctrlPr>
                        <w:rPr>
                          <w:rFonts w:ascii="Cambria Math" w:eastAsiaTheme="minorEastAsia" w:hAnsi="Cambria Math" w:cstheme="minorHAnsi"/>
                          <w:i/>
                        </w:rPr>
                      </m:ctrlPr>
                    </m:dPr>
                    <m:e>
                      <m:r>
                        <w:rPr>
                          <w:rFonts w:ascii="Cambria Math" w:eastAsiaTheme="minorEastAsia" w:hAnsi="Cambria Math" w:cstheme="minorHAnsi"/>
                        </w:rPr>
                        <m:t>£5,700+</m:t>
                      </m:r>
                      <m:r>
                        <m:rPr>
                          <m:sty m:val="bi"/>
                        </m:rPr>
                        <w:rPr>
                          <w:rFonts w:ascii="Cambria Math" w:eastAsiaTheme="minorEastAsia" w:hAnsi="Cambria Math" w:cstheme="minorHAnsi"/>
                          <w:color w:val="FF0000"/>
                        </w:rPr>
                        <m:t>10×£2,375</m:t>
                      </m:r>
                    </m:e>
                  </m:d>
                </m:e>
              </m:d>
              <m:r>
                <w:rPr>
                  <w:rFonts w:ascii="Cambria Math" w:eastAsiaTheme="minorEastAsia" w:hAnsi="Cambria Math" w:cstheme="minorHAnsi"/>
                </w:rPr>
                <m:t>-£754</m:t>
              </m:r>
            </m:num>
            <m:den>
              <m:r>
                <w:rPr>
                  <w:rFonts w:ascii="Cambria Math" w:eastAsiaTheme="minorEastAsia" w:hAnsi="Cambria Math" w:cstheme="minorHAnsi"/>
                </w:rPr>
                <m:t>10</m:t>
              </m:r>
            </m:den>
          </m:f>
          <m:r>
            <w:rPr>
              <w:rFonts w:ascii="Cambria Math" w:eastAsiaTheme="minorEastAsia" w:hAnsi="Cambria Math" w:cstheme="minorHAnsi"/>
            </w:rPr>
            <m:t>=£276.60</m:t>
          </m:r>
        </m:oMath>
      </m:oMathPara>
    </w:p>
    <w:p w:rsidR="007A1CD0" w:rsidRDefault="007A1CD0" w:rsidP="007A1CD0">
      <w:pPr>
        <w:spacing w:after="0" w:line="240" w:lineRule="auto"/>
        <w:rPr>
          <w:rFonts w:cstheme="minorHAnsi"/>
        </w:rPr>
      </w:pPr>
    </w:p>
    <w:p w:rsidR="007A1CD0" w:rsidRPr="007A1CD0" w:rsidRDefault="007A1CD0" w:rsidP="007A1CD0">
      <w:pPr>
        <w:pStyle w:val="ListParagraph"/>
        <w:spacing w:after="0" w:line="240" w:lineRule="auto"/>
        <w:ind w:left="360"/>
        <w:rPr>
          <w:rFonts w:eastAsiaTheme="minorEastAsia" w:cstheme="minorHAnsi"/>
        </w:rPr>
      </w:pPr>
      <w:r w:rsidRPr="007A1CD0">
        <w:rPr>
          <w:rFonts w:eastAsiaTheme="minorEastAsia" w:cstheme="minorHAnsi"/>
        </w:rPr>
        <w:t xml:space="preserve">Note that </w:t>
      </w:r>
      <m:oMath>
        <m:r>
          <w:rPr>
            <w:rFonts w:ascii="Cambria Math" w:eastAsiaTheme="minorEastAsia" w:hAnsi="Cambria Math" w:cstheme="minorHAnsi"/>
          </w:rPr>
          <m:t>£5,700+10×£2,375=£29,450</m:t>
        </m:r>
      </m:oMath>
      <w:r w:rsidRPr="007A1CD0">
        <w:rPr>
          <w:rFonts w:eastAsiaTheme="minorEastAsia" w:cstheme="minorHAnsi"/>
        </w:rPr>
        <w:t xml:space="preserve">.  The calculation now re-adjusts to the regular income figure and although tax for May was higher than usual, tax for June is lower than usual.  </w:t>
      </w:r>
    </w:p>
    <w:p w:rsidR="007A1CD0" w:rsidRDefault="007A1CD0" w:rsidP="007A1CD0">
      <w:pPr>
        <w:spacing w:after="0" w:line="240" w:lineRule="auto"/>
        <w:rPr>
          <w:rFonts w:eastAsiaTheme="minorEastAsia" w:cstheme="minorHAnsi"/>
        </w:rPr>
      </w:pPr>
    </w:p>
    <w:p w:rsidR="007A1CD0" w:rsidRDefault="007A1CD0" w:rsidP="007A1CD0">
      <w:pPr>
        <w:spacing w:after="0" w:line="240" w:lineRule="auto"/>
        <w:rPr>
          <w:rFonts w:eastAsiaTheme="minorEastAsia" w:cstheme="minorHAnsi"/>
        </w:rPr>
      </w:pPr>
      <w:r>
        <w:rPr>
          <w:rFonts w:eastAsiaTheme="minorEastAsia" w:cstheme="minorHAnsi"/>
        </w:rPr>
        <w:t>The tax will revert to its regular amount in July. As the tax year progresses, the higher tax figure in middle month of this situation will become less extreme and the lower tax figure in later month will become more extreme.</w:t>
      </w:r>
    </w:p>
    <w:p w:rsidR="007A1CD0" w:rsidRDefault="007A1CD0" w:rsidP="007A1CD0">
      <w:pPr>
        <w:spacing w:after="0" w:line="240" w:lineRule="auto"/>
        <w:rPr>
          <w:rFonts w:eastAsiaTheme="minorEastAsia" w:cstheme="minorHAnsi"/>
        </w:rPr>
      </w:pPr>
    </w:p>
    <w:p w:rsidR="007A1CD0" w:rsidRPr="007A1CD0" w:rsidRDefault="007A1CD0" w:rsidP="007A1CD0">
      <w:pPr>
        <w:spacing w:after="0" w:line="240" w:lineRule="auto"/>
        <w:rPr>
          <w:rFonts w:eastAsiaTheme="minorEastAsia" w:cstheme="minorHAnsi"/>
          <w:b/>
        </w:rPr>
      </w:pPr>
      <w:r w:rsidRPr="007A1CD0">
        <w:rPr>
          <w:rFonts w:eastAsiaTheme="minorEastAsia" w:cstheme="minorHAnsi"/>
          <w:b/>
        </w:rPr>
        <w:t>T</w:t>
      </w:r>
      <w:r>
        <w:rPr>
          <w:rFonts w:eastAsiaTheme="minorEastAsia" w:cstheme="minorHAnsi"/>
          <w:b/>
        </w:rPr>
        <w:t>he Most Important Factor in the PAYE System</w:t>
      </w:r>
    </w:p>
    <w:p w:rsidR="007A1CD0" w:rsidRDefault="007A1CD0" w:rsidP="007A1CD0">
      <w:pPr>
        <w:spacing w:after="0" w:line="240" w:lineRule="auto"/>
        <w:rPr>
          <w:rFonts w:eastAsiaTheme="minorEastAsia" w:cstheme="minorHAnsi"/>
        </w:rPr>
      </w:pPr>
    </w:p>
    <w:p w:rsidR="007A1CD0" w:rsidRPr="00EC158A" w:rsidRDefault="007A1CD0" w:rsidP="007A1CD0">
      <w:pPr>
        <w:spacing w:after="0" w:line="240" w:lineRule="auto"/>
        <w:rPr>
          <w:rFonts w:cstheme="minorHAnsi"/>
        </w:rPr>
      </w:pPr>
      <w:r>
        <w:rPr>
          <w:rFonts w:eastAsiaTheme="minorEastAsia" w:cstheme="minorHAnsi"/>
        </w:rPr>
        <w:t>T</w:t>
      </w:r>
      <w:r w:rsidRPr="007A1CD0">
        <w:rPr>
          <w:rFonts w:eastAsiaTheme="minorEastAsia" w:cstheme="minorHAnsi"/>
        </w:rPr>
        <w:t>he calculation a</w:t>
      </w:r>
      <w:r>
        <w:rPr>
          <w:rFonts w:eastAsiaTheme="minorEastAsia" w:cstheme="minorHAnsi"/>
        </w:rPr>
        <w:t>ssumes</w:t>
      </w:r>
      <w:r w:rsidRPr="007A1CD0">
        <w:rPr>
          <w:rFonts w:eastAsiaTheme="minorEastAsia" w:cstheme="minorHAnsi"/>
        </w:rPr>
        <w:t xml:space="preserve"> that earnings </w:t>
      </w:r>
      <w:r>
        <w:rPr>
          <w:rFonts w:eastAsiaTheme="minorEastAsia" w:cstheme="minorHAnsi"/>
        </w:rPr>
        <w:t xml:space="preserve">continue at the most recent income period for remainder of tax year and re-evaluates this each and every period until the end of the tax year. </w:t>
      </w:r>
    </w:p>
    <w:p w:rsidR="007A1CD0" w:rsidRPr="00EC158A" w:rsidRDefault="007A1CD0" w:rsidP="00CD79AC">
      <w:pPr>
        <w:spacing w:after="0" w:line="240" w:lineRule="auto"/>
        <w:rPr>
          <w:rFonts w:cstheme="minorHAnsi"/>
        </w:rPr>
      </w:pPr>
    </w:p>
    <w:p w:rsidR="00ED74CD" w:rsidRDefault="00ED74CD">
      <w:pPr>
        <w:rPr>
          <w:b/>
        </w:rPr>
      </w:pPr>
      <w:r>
        <w:rPr>
          <w:b/>
        </w:rPr>
        <w:br w:type="page"/>
      </w:r>
    </w:p>
    <w:p w:rsidR="00CD79AC" w:rsidRPr="00CA55C7" w:rsidRDefault="00CA55C7" w:rsidP="00CD79AC">
      <w:pPr>
        <w:spacing w:after="0" w:line="240" w:lineRule="auto"/>
        <w:rPr>
          <w:b/>
        </w:rPr>
      </w:pPr>
      <w:r w:rsidRPr="00CA55C7">
        <w:rPr>
          <w:b/>
        </w:rPr>
        <w:lastRenderedPageBreak/>
        <w:t>What is National Insurance?</w:t>
      </w:r>
    </w:p>
    <w:p w:rsidR="00CD79AC" w:rsidRPr="00C93F07" w:rsidRDefault="00CD79AC" w:rsidP="00C93F07">
      <w:pPr>
        <w:spacing w:after="0" w:line="240" w:lineRule="auto"/>
        <w:rPr>
          <w:rFonts w:cstheme="minorHAnsi"/>
        </w:rPr>
      </w:pPr>
    </w:p>
    <w:p w:rsidR="00C93F07" w:rsidRDefault="00CD79AC" w:rsidP="00C93F07">
      <w:pPr>
        <w:pStyle w:val="NormalWeb"/>
        <w:spacing w:before="0" w:beforeAutospacing="0" w:after="0" w:afterAutospacing="0"/>
        <w:rPr>
          <w:rFonts w:asciiTheme="minorHAnsi" w:hAnsiTheme="minorHAnsi" w:cstheme="minorHAnsi"/>
          <w:sz w:val="22"/>
          <w:szCs w:val="22"/>
        </w:rPr>
      </w:pPr>
      <w:r w:rsidRPr="00C93F07">
        <w:rPr>
          <w:rFonts w:asciiTheme="minorHAnsi" w:hAnsiTheme="minorHAnsi" w:cstheme="minorHAnsi"/>
          <w:sz w:val="22"/>
          <w:szCs w:val="22"/>
        </w:rPr>
        <w:t>Employed people, and their employers, also pay National Insurance.</w:t>
      </w:r>
      <w:r w:rsidR="0078043D" w:rsidRPr="00C93F07">
        <w:rPr>
          <w:rFonts w:asciiTheme="minorHAnsi" w:hAnsiTheme="minorHAnsi" w:cstheme="minorHAnsi"/>
          <w:sz w:val="22"/>
          <w:szCs w:val="22"/>
        </w:rPr>
        <w:t xml:space="preserve">  </w:t>
      </w:r>
      <w:r w:rsidR="00C93F07">
        <w:rPr>
          <w:rFonts w:asciiTheme="minorHAnsi" w:hAnsiTheme="minorHAnsi" w:cstheme="minorHAnsi"/>
          <w:sz w:val="22"/>
          <w:szCs w:val="22"/>
        </w:rPr>
        <w:t xml:space="preserve">National Insurance contributions </w:t>
      </w:r>
      <w:r w:rsidR="00C93F07" w:rsidRPr="00C93F07">
        <w:rPr>
          <w:rFonts w:asciiTheme="minorHAnsi" w:hAnsiTheme="minorHAnsi" w:cstheme="minorHAnsi"/>
          <w:sz w:val="22"/>
          <w:szCs w:val="22"/>
        </w:rPr>
        <w:t>help to build your entitlement to certain state benefits, such as the State Pension and Maternity Allowance.</w:t>
      </w:r>
      <w:r w:rsidR="00C93F07">
        <w:rPr>
          <w:rFonts w:asciiTheme="minorHAnsi" w:hAnsiTheme="minorHAnsi" w:cstheme="minorHAnsi"/>
          <w:sz w:val="22"/>
          <w:szCs w:val="22"/>
        </w:rPr>
        <w:t xml:space="preserve">  A point to note here is that the NHS is funded both from general taxation and National Insurance with general taxation accounting for about 80% of NHS funding.</w:t>
      </w:r>
    </w:p>
    <w:p w:rsidR="00C93F07" w:rsidRPr="00C93F07" w:rsidRDefault="00C93F07" w:rsidP="00C93F07">
      <w:pPr>
        <w:pStyle w:val="NormalWeb"/>
        <w:spacing w:before="0" w:beforeAutospacing="0" w:after="0" w:afterAutospacing="0"/>
        <w:rPr>
          <w:rFonts w:asciiTheme="minorHAnsi" w:hAnsiTheme="minorHAnsi" w:cstheme="minorHAnsi"/>
          <w:sz w:val="22"/>
          <w:szCs w:val="22"/>
        </w:rPr>
      </w:pPr>
    </w:p>
    <w:p w:rsidR="00C93F07" w:rsidRPr="00C93F07" w:rsidRDefault="00C93F07" w:rsidP="00C93F0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Unlike income t</w:t>
      </w:r>
      <w:r w:rsidRPr="00C93F07">
        <w:rPr>
          <w:rFonts w:asciiTheme="minorHAnsi" w:hAnsiTheme="minorHAnsi" w:cstheme="minorHAnsi"/>
          <w:sz w:val="22"/>
          <w:szCs w:val="22"/>
        </w:rPr>
        <w:t xml:space="preserve">ax, National Insurance is not an annual tax. It applies to your pay each pay period (monthly, weekly </w:t>
      </w:r>
      <w:r>
        <w:rPr>
          <w:rFonts w:asciiTheme="minorHAnsi" w:hAnsiTheme="minorHAnsi" w:cstheme="minorHAnsi"/>
          <w:sz w:val="22"/>
          <w:szCs w:val="22"/>
        </w:rPr>
        <w:t>etc.)</w:t>
      </w:r>
      <w:r w:rsidRPr="00C93F07">
        <w:rPr>
          <w:rFonts w:asciiTheme="minorHAnsi" w:hAnsiTheme="minorHAnsi" w:cstheme="minorHAnsi"/>
          <w:sz w:val="22"/>
          <w:szCs w:val="22"/>
        </w:rPr>
        <w:t>.</w:t>
      </w:r>
      <w:r>
        <w:rPr>
          <w:rFonts w:asciiTheme="minorHAnsi" w:hAnsiTheme="minorHAnsi" w:cstheme="minorHAnsi"/>
          <w:sz w:val="22"/>
          <w:szCs w:val="22"/>
        </w:rPr>
        <w:t xml:space="preserve"> </w:t>
      </w:r>
      <w:r w:rsidRPr="00C93F07">
        <w:rPr>
          <w:rFonts w:asciiTheme="minorHAnsi" w:hAnsiTheme="minorHAnsi" w:cstheme="minorHAnsi"/>
          <w:sz w:val="22"/>
          <w:szCs w:val="22"/>
        </w:rPr>
        <w:t xml:space="preserve"> This means if you earn extra in one month, you’ll pay extra National Insurance, but you won’t be able to claim the extra back even if your pay is lower during the other months of the tax year.</w:t>
      </w:r>
    </w:p>
    <w:p w:rsidR="00CD79AC" w:rsidRPr="00C93F07" w:rsidRDefault="00CD79AC" w:rsidP="00C93F07">
      <w:pPr>
        <w:spacing w:after="0" w:line="240" w:lineRule="auto"/>
        <w:rPr>
          <w:rFonts w:cstheme="minorHAnsi"/>
        </w:rPr>
      </w:pPr>
    </w:p>
    <w:p w:rsidR="00864AAC" w:rsidRPr="00ED74CD" w:rsidRDefault="00864AAC" w:rsidP="00864AAC">
      <w:pPr>
        <w:spacing w:after="0" w:line="240" w:lineRule="auto"/>
        <w:rPr>
          <w:b/>
        </w:rPr>
      </w:pPr>
      <w:r w:rsidRPr="00ED74CD">
        <w:rPr>
          <w:b/>
        </w:rPr>
        <w:t>National Insurance Rates and Limits 2018/19</w:t>
      </w:r>
    </w:p>
    <w:p w:rsidR="00864AAC" w:rsidRDefault="00864AAC" w:rsidP="00864AAC">
      <w:pPr>
        <w:spacing w:after="0" w:line="240" w:lineRule="auto"/>
      </w:pPr>
    </w:p>
    <w:tbl>
      <w:tblPr>
        <w:tblStyle w:val="TableGrid"/>
        <w:tblW w:w="5000" w:type="pct"/>
        <w:jc w:val="center"/>
        <w:tblCellMar>
          <w:top w:w="113" w:type="dxa"/>
          <w:left w:w="57" w:type="dxa"/>
          <w:bottom w:w="113" w:type="dxa"/>
          <w:right w:w="57" w:type="dxa"/>
        </w:tblCellMar>
        <w:tblLook w:val="04A0" w:firstRow="1" w:lastRow="0" w:firstColumn="1" w:lastColumn="0" w:noHBand="0" w:noVBand="1"/>
      </w:tblPr>
      <w:tblGrid>
        <w:gridCol w:w="2689"/>
        <w:gridCol w:w="1346"/>
        <w:gridCol w:w="1347"/>
        <w:gridCol w:w="3634"/>
      </w:tblGrid>
      <w:tr w:rsidR="00864AAC" w:rsidTr="00456359">
        <w:trPr>
          <w:jc w:val="center"/>
        </w:trPr>
        <w:tc>
          <w:tcPr>
            <w:tcW w:w="2689" w:type="dxa"/>
            <w:vAlign w:val="center"/>
          </w:tcPr>
          <w:p w:rsidR="00864AAC" w:rsidRDefault="00864AAC" w:rsidP="00382FE7">
            <w:pPr>
              <w:jc w:val="center"/>
            </w:pPr>
            <w:r>
              <w:t>Limit</w:t>
            </w:r>
            <w:r w:rsidR="00C93F07">
              <w:t xml:space="preserve"> (annual equivalent)</w:t>
            </w:r>
          </w:p>
        </w:tc>
        <w:tc>
          <w:tcPr>
            <w:tcW w:w="1346" w:type="dxa"/>
            <w:vAlign w:val="center"/>
          </w:tcPr>
          <w:p w:rsidR="00864AAC" w:rsidRDefault="00864AAC" w:rsidP="00382FE7">
            <w:pPr>
              <w:jc w:val="center"/>
            </w:pPr>
            <w:r>
              <w:t>Employee Rate</w:t>
            </w:r>
          </w:p>
        </w:tc>
        <w:tc>
          <w:tcPr>
            <w:tcW w:w="1347" w:type="dxa"/>
            <w:vAlign w:val="center"/>
          </w:tcPr>
          <w:p w:rsidR="00864AAC" w:rsidRDefault="00864AAC" w:rsidP="00382FE7">
            <w:pPr>
              <w:jc w:val="center"/>
            </w:pPr>
            <w:r>
              <w:t>Employer Rate</w:t>
            </w:r>
          </w:p>
        </w:tc>
        <w:tc>
          <w:tcPr>
            <w:tcW w:w="3634" w:type="dxa"/>
          </w:tcPr>
          <w:p w:rsidR="00864AAC" w:rsidRDefault="00864AAC" w:rsidP="00382FE7">
            <w:pPr>
              <w:jc w:val="center"/>
            </w:pPr>
            <w:r>
              <w:t>Notes</w:t>
            </w:r>
          </w:p>
        </w:tc>
      </w:tr>
      <w:tr w:rsidR="00864AAC" w:rsidTr="00456359">
        <w:trPr>
          <w:jc w:val="center"/>
        </w:trPr>
        <w:tc>
          <w:tcPr>
            <w:tcW w:w="2689" w:type="dxa"/>
            <w:vAlign w:val="center"/>
          </w:tcPr>
          <w:p w:rsidR="00864AAC" w:rsidRDefault="00864AAC" w:rsidP="00864AAC">
            <w:pPr>
              <w:jc w:val="center"/>
            </w:pPr>
            <w:r>
              <w:t>Under £8,424</w:t>
            </w:r>
          </w:p>
        </w:tc>
        <w:tc>
          <w:tcPr>
            <w:tcW w:w="1346" w:type="dxa"/>
            <w:vAlign w:val="center"/>
          </w:tcPr>
          <w:p w:rsidR="00864AAC" w:rsidRDefault="00864AAC" w:rsidP="00382FE7">
            <w:pPr>
              <w:jc w:val="center"/>
            </w:pPr>
            <w:r>
              <w:t>0%</w:t>
            </w:r>
          </w:p>
        </w:tc>
        <w:tc>
          <w:tcPr>
            <w:tcW w:w="1347" w:type="dxa"/>
            <w:vAlign w:val="center"/>
          </w:tcPr>
          <w:p w:rsidR="00864AAC" w:rsidRDefault="00864AAC" w:rsidP="00864AAC">
            <w:pPr>
              <w:jc w:val="center"/>
            </w:pPr>
            <w:r>
              <w:t>0%</w:t>
            </w:r>
          </w:p>
        </w:tc>
        <w:tc>
          <w:tcPr>
            <w:tcW w:w="3634" w:type="dxa"/>
          </w:tcPr>
          <w:p w:rsidR="00864AAC" w:rsidRDefault="00456359" w:rsidP="00456359">
            <w:r>
              <w:t>There is also lower earnings limit of £6,036 required to qualify for some benefits</w:t>
            </w:r>
          </w:p>
        </w:tc>
      </w:tr>
      <w:tr w:rsidR="00864AAC" w:rsidTr="00456359">
        <w:trPr>
          <w:jc w:val="center"/>
        </w:trPr>
        <w:tc>
          <w:tcPr>
            <w:tcW w:w="2689" w:type="dxa"/>
            <w:vAlign w:val="center"/>
          </w:tcPr>
          <w:p w:rsidR="00864AAC" w:rsidRDefault="00864AAC" w:rsidP="00864AAC">
            <w:pPr>
              <w:jc w:val="center"/>
            </w:pPr>
            <w:r>
              <w:t>£8,424 and up to £46,356</w:t>
            </w:r>
          </w:p>
        </w:tc>
        <w:tc>
          <w:tcPr>
            <w:tcW w:w="1346" w:type="dxa"/>
            <w:vAlign w:val="center"/>
          </w:tcPr>
          <w:p w:rsidR="00864AAC" w:rsidRDefault="00864AAC" w:rsidP="00382FE7">
            <w:pPr>
              <w:jc w:val="center"/>
            </w:pPr>
            <w:r>
              <w:t>12%</w:t>
            </w:r>
          </w:p>
        </w:tc>
        <w:tc>
          <w:tcPr>
            <w:tcW w:w="1347" w:type="dxa"/>
            <w:vAlign w:val="center"/>
          </w:tcPr>
          <w:p w:rsidR="00864AAC" w:rsidRDefault="00864AAC" w:rsidP="00864AAC">
            <w:pPr>
              <w:jc w:val="center"/>
            </w:pPr>
            <w:r>
              <w:t>13.8</w:t>
            </w:r>
          </w:p>
        </w:tc>
        <w:tc>
          <w:tcPr>
            <w:tcW w:w="3634" w:type="dxa"/>
          </w:tcPr>
          <w:p w:rsidR="00864AAC" w:rsidRDefault="00456359" w:rsidP="00864AAC">
            <w:pPr>
              <w:jc w:val="center"/>
            </w:pPr>
            <w:r>
              <w:t>This upper limit is known as the upper earnings limit</w:t>
            </w:r>
          </w:p>
        </w:tc>
      </w:tr>
      <w:tr w:rsidR="00864AAC" w:rsidTr="00456359">
        <w:trPr>
          <w:jc w:val="center"/>
        </w:trPr>
        <w:tc>
          <w:tcPr>
            <w:tcW w:w="2689" w:type="dxa"/>
            <w:vAlign w:val="center"/>
          </w:tcPr>
          <w:p w:rsidR="00864AAC" w:rsidRDefault="00864AAC" w:rsidP="00864AAC">
            <w:pPr>
              <w:jc w:val="center"/>
            </w:pPr>
            <w:r>
              <w:t>Above £46,356</w:t>
            </w:r>
          </w:p>
        </w:tc>
        <w:tc>
          <w:tcPr>
            <w:tcW w:w="1346" w:type="dxa"/>
            <w:vAlign w:val="center"/>
          </w:tcPr>
          <w:p w:rsidR="00864AAC" w:rsidRDefault="00864AAC" w:rsidP="00382FE7">
            <w:pPr>
              <w:jc w:val="center"/>
            </w:pPr>
            <w:r>
              <w:t>2%</w:t>
            </w:r>
          </w:p>
        </w:tc>
        <w:tc>
          <w:tcPr>
            <w:tcW w:w="1347" w:type="dxa"/>
            <w:vAlign w:val="center"/>
          </w:tcPr>
          <w:p w:rsidR="00864AAC" w:rsidRDefault="00864AAC" w:rsidP="00864AAC">
            <w:pPr>
              <w:jc w:val="center"/>
            </w:pPr>
            <w:r>
              <w:t>13.8%</w:t>
            </w:r>
          </w:p>
        </w:tc>
        <w:tc>
          <w:tcPr>
            <w:tcW w:w="3634" w:type="dxa"/>
          </w:tcPr>
          <w:p w:rsidR="00864AAC" w:rsidRDefault="00864AAC" w:rsidP="00864AAC">
            <w:pPr>
              <w:jc w:val="center"/>
            </w:pPr>
          </w:p>
        </w:tc>
      </w:tr>
    </w:tbl>
    <w:p w:rsidR="00864AAC" w:rsidRDefault="00864AAC" w:rsidP="00864AAC">
      <w:pPr>
        <w:spacing w:after="0" w:line="240" w:lineRule="auto"/>
      </w:pPr>
    </w:p>
    <w:p w:rsidR="00456359" w:rsidRDefault="00C93F07" w:rsidP="00C93F07">
      <w:pPr>
        <w:spacing w:after="0" w:line="240" w:lineRule="auto"/>
        <w:jc w:val="center"/>
      </w:pPr>
      <w:r>
        <w:rPr>
          <w:noProof/>
          <w:lang w:eastAsia="en-GB"/>
        </w:rPr>
        <w:drawing>
          <wp:inline distT="0" distB="0" distL="0" distR="0">
            <wp:extent cx="4053600" cy="24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tionalInsuran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3600" cy="2412000"/>
                    </a:xfrm>
                    <a:prstGeom prst="rect">
                      <a:avLst/>
                    </a:prstGeom>
                  </pic:spPr>
                </pic:pic>
              </a:graphicData>
            </a:graphic>
          </wp:inline>
        </w:drawing>
      </w:r>
    </w:p>
    <w:p w:rsidR="00456359" w:rsidRDefault="00456359">
      <w:pPr>
        <w:rPr>
          <w:b/>
        </w:rPr>
      </w:pPr>
      <w:r>
        <w:rPr>
          <w:b/>
        </w:rPr>
        <w:br w:type="page"/>
      </w:r>
    </w:p>
    <w:p w:rsidR="001269F0" w:rsidRPr="00456359" w:rsidRDefault="0078043D" w:rsidP="001269F0">
      <w:pPr>
        <w:spacing w:after="0" w:line="240" w:lineRule="auto"/>
        <w:rPr>
          <w:b/>
        </w:rPr>
      </w:pPr>
      <w:r w:rsidRPr="00456359">
        <w:rPr>
          <w:b/>
        </w:rPr>
        <w:lastRenderedPageBreak/>
        <w:t>Calculating National Insurance</w:t>
      </w:r>
    </w:p>
    <w:p w:rsidR="0078043D" w:rsidRDefault="0078043D" w:rsidP="001269F0">
      <w:pPr>
        <w:spacing w:after="0" w:line="240" w:lineRule="auto"/>
      </w:pPr>
    </w:p>
    <w:p w:rsidR="0078043D" w:rsidRDefault="0078043D" w:rsidP="001269F0">
      <w:pPr>
        <w:spacing w:after="0" w:line="240" w:lineRule="auto"/>
      </w:pPr>
      <w:r>
        <w:t>How to calculate how much National Insurance you’ll pay – a basic model (all 2018/19 figures).</w:t>
      </w:r>
    </w:p>
    <w:p w:rsidR="0078043D" w:rsidRDefault="0078043D" w:rsidP="0078043D">
      <w:pPr>
        <w:spacing w:after="0" w:line="240" w:lineRule="auto"/>
      </w:pPr>
    </w:p>
    <w:p w:rsidR="0078043D" w:rsidRDefault="0022250C" w:rsidP="00DE2D25">
      <w:pPr>
        <w:pStyle w:val="ListParagraph"/>
        <w:numPr>
          <w:ilvl w:val="0"/>
          <w:numId w:val="2"/>
        </w:numPr>
        <w:pBdr>
          <w:top w:val="single" w:sz="4" w:space="1" w:color="auto"/>
          <w:left w:val="single" w:sz="4" w:space="4" w:color="auto"/>
          <w:bottom w:val="single" w:sz="4" w:space="1" w:color="auto"/>
          <w:right w:val="single" w:sz="4" w:space="4" w:color="auto"/>
        </w:pBdr>
        <w:spacing w:after="0" w:line="360" w:lineRule="auto"/>
        <w:ind w:left="357" w:hanging="357"/>
      </w:pPr>
      <w:r>
        <w:t xml:space="preserve">If </w:t>
      </w:r>
      <w:r w:rsidR="0078043D">
        <w:t xml:space="preserve">your total gross income </w:t>
      </w:r>
      <w:r>
        <w:t xml:space="preserve">for the month/week etc. is less than </w:t>
      </w:r>
      <w:r w:rsidR="0078043D">
        <w:t>£8,424</w:t>
      </w:r>
      <w:r>
        <w:t xml:space="preserve"> equivalent per annum, you w</w:t>
      </w:r>
      <w:r w:rsidR="0078043D">
        <w:t xml:space="preserve">on’t pay any National Insurance </w:t>
      </w:r>
      <w:r>
        <w:t>this time around</w:t>
      </w:r>
      <w:r w:rsidR="0078043D">
        <w:t>.</w:t>
      </w:r>
    </w:p>
    <w:p w:rsidR="0022250C" w:rsidRDefault="0022250C" w:rsidP="0078043D">
      <w:pPr>
        <w:pStyle w:val="ListParagraph"/>
        <w:numPr>
          <w:ilvl w:val="0"/>
          <w:numId w:val="2"/>
        </w:numPr>
        <w:pBdr>
          <w:top w:val="single" w:sz="4" w:space="1" w:color="auto"/>
          <w:left w:val="single" w:sz="4" w:space="4" w:color="auto"/>
          <w:bottom w:val="single" w:sz="4" w:space="1" w:color="auto"/>
          <w:right w:val="single" w:sz="4" w:space="4" w:color="auto"/>
        </w:pBdr>
        <w:spacing w:after="0" w:line="360" w:lineRule="auto"/>
        <w:ind w:left="357" w:hanging="357"/>
      </w:pPr>
      <w:r>
        <w:t>If your total gross income for the month/week etc. is more than £8,424 equivalent per annum and less than £46,356, you’ll pay 12% on everything between these limits.</w:t>
      </w:r>
    </w:p>
    <w:p w:rsidR="0078043D" w:rsidRDefault="0022250C" w:rsidP="0078043D">
      <w:pPr>
        <w:pStyle w:val="ListParagraph"/>
        <w:numPr>
          <w:ilvl w:val="0"/>
          <w:numId w:val="2"/>
        </w:numPr>
        <w:pBdr>
          <w:top w:val="single" w:sz="4" w:space="1" w:color="auto"/>
          <w:left w:val="single" w:sz="4" w:space="4" w:color="auto"/>
          <w:bottom w:val="single" w:sz="4" w:space="1" w:color="auto"/>
          <w:right w:val="single" w:sz="4" w:space="4" w:color="auto"/>
        </w:pBdr>
        <w:spacing w:after="0" w:line="360" w:lineRule="auto"/>
        <w:ind w:left="357" w:hanging="357"/>
      </w:pPr>
      <w:r>
        <w:t>If your total gross income for the month/week etc. is more than £46,356 equivalent per annum, you’ll pay 12% on everything between these £8,424 and £46,356 plus 2% on everything above this</w:t>
      </w:r>
      <w:r w:rsidR="0078043D">
        <w:t>.</w:t>
      </w:r>
    </w:p>
    <w:p w:rsidR="001269F0" w:rsidRDefault="001269F0" w:rsidP="001269F0">
      <w:pPr>
        <w:spacing w:after="0" w:line="240" w:lineRule="auto"/>
      </w:pPr>
    </w:p>
    <w:p w:rsidR="00ED74CD" w:rsidRDefault="00ED74CD" w:rsidP="001269F0">
      <w:pPr>
        <w:spacing w:after="0" w:line="240" w:lineRule="auto"/>
      </w:pPr>
    </w:p>
    <w:p w:rsidR="00ED74CD" w:rsidRPr="00ED74CD" w:rsidRDefault="00ED74CD" w:rsidP="00ED74CD">
      <w:pPr>
        <w:spacing w:after="0" w:line="240" w:lineRule="auto"/>
        <w:rPr>
          <w:b/>
        </w:rPr>
      </w:pPr>
      <w:r w:rsidRPr="00ED74CD">
        <w:rPr>
          <w:b/>
        </w:rPr>
        <w:t>Increasing your personal allowance and other tax free benefits</w:t>
      </w:r>
    </w:p>
    <w:p w:rsidR="00ED74CD" w:rsidRDefault="00ED74CD" w:rsidP="00ED74CD">
      <w:pPr>
        <w:spacing w:after="0" w:line="240" w:lineRule="auto"/>
      </w:pPr>
    </w:p>
    <w:p w:rsidR="00ED74CD" w:rsidRDefault="00ED74CD" w:rsidP="00ED74CD">
      <w:pPr>
        <w:pStyle w:val="ListParagraph"/>
        <w:numPr>
          <w:ilvl w:val="0"/>
          <w:numId w:val="3"/>
        </w:numPr>
        <w:spacing w:after="0" w:line="240" w:lineRule="auto"/>
      </w:pPr>
      <w:r>
        <w:t>Pension contributions are tax free.  If you earn just over the 40% threshold, consider increasing your pension contributions instead of paying 40% tax on earnings above this threshold (£46,350).</w:t>
      </w:r>
      <w:r w:rsidR="002D0EE7">
        <w:t xml:space="preserve">  60% of that money now vs 100% of that money when you retire.</w:t>
      </w:r>
    </w:p>
    <w:p w:rsidR="002D0EE7" w:rsidRDefault="002D0EE7" w:rsidP="002D0EE7">
      <w:pPr>
        <w:pStyle w:val="ListParagraph"/>
        <w:spacing w:after="0" w:line="240" w:lineRule="auto"/>
        <w:ind w:left="360"/>
      </w:pPr>
    </w:p>
    <w:p w:rsidR="002D0EE7" w:rsidRDefault="00ED74CD" w:rsidP="002D0EE7">
      <w:pPr>
        <w:pStyle w:val="ListParagraph"/>
        <w:numPr>
          <w:ilvl w:val="0"/>
          <w:numId w:val="3"/>
        </w:numPr>
        <w:spacing w:after="0" w:line="240" w:lineRule="auto"/>
      </w:pPr>
      <w:r>
        <w:t xml:space="preserve">Union subscriptions are tax free.  If you pay these, contact the tax office to amend your tax code.  Better still, you can get this backdated by up to four years. </w:t>
      </w:r>
    </w:p>
    <w:p w:rsidR="002D0EE7" w:rsidRDefault="002D0EE7" w:rsidP="002D0EE7">
      <w:pPr>
        <w:pStyle w:val="ListParagraph"/>
        <w:spacing w:after="0" w:line="240" w:lineRule="auto"/>
        <w:ind w:left="360"/>
      </w:pPr>
    </w:p>
    <w:p w:rsidR="00ED74CD" w:rsidRDefault="00ED74CD" w:rsidP="00ED74CD">
      <w:pPr>
        <w:pStyle w:val="ListParagraph"/>
        <w:numPr>
          <w:ilvl w:val="0"/>
          <w:numId w:val="3"/>
        </w:numPr>
        <w:spacing w:after="0" w:line="240" w:lineRule="auto"/>
      </w:pPr>
      <w:r>
        <w:t xml:space="preserve">If you’re married (or in a civil relationship) and have a taxable income below the personal allowance limit of £11,850, you can transfer unused allowance of </w:t>
      </w:r>
      <w:r w:rsidRPr="00ED74CD">
        <w:rPr>
          <w:i/>
        </w:rPr>
        <w:t>up to</w:t>
      </w:r>
      <w:r>
        <w:t xml:space="preserve"> £1,190 to your partner.  This could be worth </w:t>
      </w:r>
      <w:r w:rsidRPr="00ED74CD">
        <w:rPr>
          <w:i/>
        </w:rPr>
        <w:t>up to</w:t>
      </w:r>
      <w:r>
        <w:t xml:space="preserve"> £238.</w:t>
      </w:r>
    </w:p>
    <w:p w:rsidR="002D0EE7" w:rsidRDefault="002D0EE7" w:rsidP="002D0EE7">
      <w:pPr>
        <w:spacing w:after="0" w:line="240" w:lineRule="auto"/>
      </w:pPr>
    </w:p>
    <w:p w:rsidR="002D0EE7" w:rsidRPr="002D0EE7" w:rsidRDefault="002D0EE7" w:rsidP="002D0EE7">
      <w:pPr>
        <w:pStyle w:val="ListParagraph"/>
        <w:numPr>
          <w:ilvl w:val="0"/>
          <w:numId w:val="3"/>
        </w:numPr>
        <w:spacing w:after="0" w:line="240" w:lineRule="auto"/>
      </w:pPr>
      <w:r w:rsidRPr="002D0EE7">
        <w:rPr>
          <w:bCs/>
        </w:rPr>
        <w:t>If e</w:t>
      </w:r>
      <w:r>
        <w:rPr>
          <w:bCs/>
        </w:rPr>
        <w:t>ither you or your partner have a taxable</w:t>
      </w:r>
      <w:r w:rsidRPr="002D0EE7">
        <w:rPr>
          <w:bCs/>
        </w:rPr>
        <w:t xml:space="preserve"> income of more than £50,000 </w:t>
      </w:r>
      <w:r>
        <w:rPr>
          <w:bCs/>
        </w:rPr>
        <w:t xml:space="preserve">then you’ll lose out on some, or all, of </w:t>
      </w:r>
      <w:r w:rsidRPr="002D0EE7">
        <w:rPr>
          <w:bCs/>
        </w:rPr>
        <w:t xml:space="preserve">your Child Benefit </w:t>
      </w:r>
      <w:r>
        <w:rPr>
          <w:bCs/>
        </w:rPr>
        <w:t xml:space="preserve">entitlement.  Note that this is taxable income and pension payments are not taxable.  Therefore, if you’re in the situation above, consider increasing pension payments to reduce your taxable income to £50,000.  Work the maths on this first though. </w:t>
      </w:r>
    </w:p>
    <w:p w:rsidR="002D0EE7" w:rsidRPr="002D0EE7" w:rsidRDefault="002D0EE7" w:rsidP="002D0EE7">
      <w:pPr>
        <w:pStyle w:val="ListParagraph"/>
        <w:spacing w:after="0" w:line="240" w:lineRule="auto"/>
        <w:ind w:left="360"/>
      </w:pPr>
      <w:r>
        <w:rPr>
          <w:bCs/>
        </w:rPr>
        <w:t xml:space="preserve"> </w:t>
      </w:r>
    </w:p>
    <w:p w:rsidR="00ED74CD" w:rsidRDefault="00ED74CD" w:rsidP="00ED74CD">
      <w:pPr>
        <w:pStyle w:val="ListParagraph"/>
        <w:numPr>
          <w:ilvl w:val="0"/>
          <w:numId w:val="3"/>
        </w:numPr>
        <w:spacing w:after="0" w:line="240" w:lineRule="auto"/>
      </w:pPr>
      <w:r>
        <w:t xml:space="preserve">If your employer requires you to purchase, clean and repair a uniform for work, you can claim tax relief on this.  See </w:t>
      </w:r>
      <w:hyperlink r:id="rId8" w:history="1">
        <w:r w:rsidRPr="003E0C73">
          <w:rPr>
            <w:rStyle w:val="Hyperlink"/>
          </w:rPr>
          <w:t>here</w:t>
        </w:r>
      </w:hyperlink>
      <w:r>
        <w:t xml:space="preserve"> for more details. </w:t>
      </w:r>
    </w:p>
    <w:p w:rsidR="00ED74CD" w:rsidRDefault="00ED74CD" w:rsidP="00ED74CD">
      <w:pPr>
        <w:spacing w:after="0" w:line="240" w:lineRule="auto"/>
      </w:pPr>
    </w:p>
    <w:p w:rsidR="00ED74CD" w:rsidRDefault="00ED74CD" w:rsidP="001269F0">
      <w:pPr>
        <w:spacing w:after="0" w:line="240" w:lineRule="auto"/>
        <w:rPr>
          <w:b/>
        </w:rPr>
      </w:pPr>
    </w:p>
    <w:p w:rsidR="00ED74CD" w:rsidRPr="00ED74CD" w:rsidRDefault="00ED74CD" w:rsidP="001269F0">
      <w:pPr>
        <w:spacing w:after="0" w:line="240" w:lineRule="auto"/>
        <w:rPr>
          <w:b/>
        </w:rPr>
      </w:pPr>
      <w:r w:rsidRPr="00ED74CD">
        <w:rPr>
          <w:b/>
        </w:rPr>
        <w:t>Links and Further Reading</w:t>
      </w:r>
    </w:p>
    <w:p w:rsidR="00ED74CD" w:rsidRDefault="00ED74CD" w:rsidP="001269F0">
      <w:pPr>
        <w:spacing w:after="0" w:line="240" w:lineRule="auto"/>
      </w:pPr>
    </w:p>
    <w:p w:rsidR="001269F0" w:rsidRDefault="00D86179" w:rsidP="00D86179">
      <w:pPr>
        <w:spacing w:after="0" w:line="360" w:lineRule="auto"/>
      </w:pPr>
      <w:hyperlink r:id="rId9" w:history="1">
        <w:r w:rsidR="001269F0" w:rsidRPr="0033729A">
          <w:rPr>
            <w:rStyle w:val="Hyperlink"/>
          </w:rPr>
          <w:t>https://www.moneysavingexpert.com/banking/tax-rates/</w:t>
        </w:r>
      </w:hyperlink>
    </w:p>
    <w:p w:rsidR="001269F0" w:rsidRDefault="00D86179" w:rsidP="00D86179">
      <w:pPr>
        <w:spacing w:after="0" w:line="360" w:lineRule="auto"/>
      </w:pPr>
      <w:hyperlink r:id="rId10" w:history="1">
        <w:r w:rsidR="001269F0" w:rsidRPr="0033729A">
          <w:rPr>
            <w:rStyle w:val="Hyperlink"/>
          </w:rPr>
          <w:t>https://www.gov.uk/government/publications/income-tax-personal-allowance-and-basic-rate-limit-from-2019-to-2020/income-tax-personal-allowance-and-basic-rate-limit-from-2019-20</w:t>
        </w:r>
      </w:hyperlink>
    </w:p>
    <w:p w:rsidR="001269F0" w:rsidRDefault="00D86179" w:rsidP="00D86179">
      <w:pPr>
        <w:spacing w:after="0" w:line="360" w:lineRule="auto"/>
      </w:pPr>
      <w:hyperlink r:id="rId11" w:history="1">
        <w:r w:rsidR="00CA55C7" w:rsidRPr="0033729A">
          <w:rPr>
            <w:rStyle w:val="Hyperlink"/>
          </w:rPr>
          <w:t>https://www.gov.uk/topic/personal-tax/self-assessment</w:t>
        </w:r>
      </w:hyperlink>
      <w:r w:rsidR="00CA55C7">
        <w:t xml:space="preserve"> </w:t>
      </w:r>
    </w:p>
    <w:p w:rsidR="0078043D" w:rsidRDefault="00D86179" w:rsidP="00D86179">
      <w:pPr>
        <w:spacing w:after="0" w:line="360" w:lineRule="auto"/>
      </w:pPr>
      <w:hyperlink r:id="rId12" w:history="1">
        <w:r w:rsidR="0078043D" w:rsidRPr="001B351F">
          <w:rPr>
            <w:rStyle w:val="Hyperlink"/>
          </w:rPr>
          <w:t>https://www.gov.uk/national-insurance-rates-letters</w:t>
        </w:r>
      </w:hyperlink>
      <w:r w:rsidR="0078043D">
        <w:t xml:space="preserve"> </w:t>
      </w:r>
    </w:p>
    <w:p w:rsidR="0078043D" w:rsidRDefault="00D86179" w:rsidP="00D86179">
      <w:pPr>
        <w:spacing w:after="0" w:line="360" w:lineRule="auto"/>
      </w:pPr>
      <w:hyperlink r:id="rId13" w:history="1">
        <w:r w:rsidR="0078043D" w:rsidRPr="001B351F">
          <w:rPr>
            <w:rStyle w:val="Hyperlink"/>
          </w:rPr>
          <w:t>https://www.gov.uk/national-insurance-rates-letters/category-letters</w:t>
        </w:r>
      </w:hyperlink>
      <w:r w:rsidR="0078043D">
        <w:t xml:space="preserve"> </w:t>
      </w:r>
    </w:p>
    <w:p w:rsidR="003E0C73" w:rsidRDefault="00D86179" w:rsidP="00D86179">
      <w:pPr>
        <w:spacing w:after="0" w:line="360" w:lineRule="auto"/>
      </w:pPr>
      <w:hyperlink r:id="rId14" w:history="1">
        <w:r w:rsidR="003E0C73" w:rsidRPr="001B351F">
          <w:rPr>
            <w:rStyle w:val="Hyperlink"/>
          </w:rPr>
          <w:t>https://www.moneysavingexpert.com/reclaim/uniform-tax-refund/</w:t>
        </w:r>
      </w:hyperlink>
      <w:r w:rsidR="003E0C73">
        <w:t xml:space="preserve"> </w:t>
      </w:r>
    </w:p>
    <w:p w:rsidR="00456359" w:rsidRDefault="00D86179" w:rsidP="00D86179">
      <w:pPr>
        <w:spacing w:after="0" w:line="360" w:lineRule="auto"/>
      </w:pPr>
      <w:hyperlink r:id="rId15" w:history="1">
        <w:r w:rsidR="003E0C73" w:rsidRPr="001B351F">
          <w:rPr>
            <w:rStyle w:val="Hyperlink"/>
          </w:rPr>
          <w:t>https://www.gov.uk/tax-relief-for-employees</w:t>
        </w:r>
      </w:hyperlink>
      <w:r w:rsidR="003E0C73">
        <w:t xml:space="preserve"> </w:t>
      </w:r>
      <w:bookmarkStart w:id="0" w:name="_GoBack"/>
      <w:bookmarkEnd w:id="0"/>
    </w:p>
    <w:sectPr w:rsidR="00456359" w:rsidSect="00ED74CD">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48F8"/>
    <w:multiLevelType w:val="hybridMultilevel"/>
    <w:tmpl w:val="34B8EC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7E3308"/>
    <w:multiLevelType w:val="hybridMultilevel"/>
    <w:tmpl w:val="113E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47C5F"/>
    <w:multiLevelType w:val="hybridMultilevel"/>
    <w:tmpl w:val="3C4A7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A3D42"/>
    <w:multiLevelType w:val="hybridMultilevel"/>
    <w:tmpl w:val="34B8EC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E83649"/>
    <w:multiLevelType w:val="hybridMultilevel"/>
    <w:tmpl w:val="ADC8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673701"/>
    <w:multiLevelType w:val="hybridMultilevel"/>
    <w:tmpl w:val="C63A1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EB047D"/>
    <w:multiLevelType w:val="hybridMultilevel"/>
    <w:tmpl w:val="D53E6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1E2B68"/>
    <w:multiLevelType w:val="hybridMultilevel"/>
    <w:tmpl w:val="F966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92447"/>
    <w:multiLevelType w:val="hybridMultilevel"/>
    <w:tmpl w:val="BBE6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F0"/>
    <w:rsid w:val="00005519"/>
    <w:rsid w:val="001269F0"/>
    <w:rsid w:val="0022250C"/>
    <w:rsid w:val="002C1114"/>
    <w:rsid w:val="002D0EE7"/>
    <w:rsid w:val="003E0C73"/>
    <w:rsid w:val="00456359"/>
    <w:rsid w:val="0078043D"/>
    <w:rsid w:val="007A1CD0"/>
    <w:rsid w:val="00864AAC"/>
    <w:rsid w:val="00C93F07"/>
    <w:rsid w:val="00CA55C7"/>
    <w:rsid w:val="00CC3DB9"/>
    <w:rsid w:val="00CD79AC"/>
    <w:rsid w:val="00D86179"/>
    <w:rsid w:val="00E23F2D"/>
    <w:rsid w:val="00E82BAA"/>
    <w:rsid w:val="00EC158A"/>
    <w:rsid w:val="00ED7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ED8E"/>
  <w15:chartTrackingRefBased/>
  <w15:docId w15:val="{F8861356-2D3F-438C-B2B5-3E72F36E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9F0"/>
    <w:rPr>
      <w:color w:val="0563C1" w:themeColor="hyperlink"/>
      <w:u w:val="single"/>
    </w:rPr>
  </w:style>
  <w:style w:type="table" w:styleId="TableGrid">
    <w:name w:val="Table Grid"/>
    <w:basedOn w:val="TableNormal"/>
    <w:uiPriority w:val="39"/>
    <w:rsid w:val="0012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DB9"/>
    <w:pPr>
      <w:ind w:left="720"/>
      <w:contextualSpacing/>
    </w:pPr>
  </w:style>
  <w:style w:type="paragraph" w:styleId="NormalWeb">
    <w:name w:val="Normal (Web)"/>
    <w:basedOn w:val="Normal"/>
    <w:uiPriority w:val="99"/>
    <w:semiHidden/>
    <w:unhideWhenUsed/>
    <w:rsid w:val="00C93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EC158A"/>
    <w:rPr>
      <w:color w:val="808080"/>
    </w:rPr>
  </w:style>
  <w:style w:type="character" w:styleId="Strong">
    <w:name w:val="Strong"/>
    <w:basedOn w:val="DefaultParagraphFont"/>
    <w:uiPriority w:val="22"/>
    <w:qFormat/>
    <w:rsid w:val="002D0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savingexpert.com/reclaim/uniform-tax-refund/" TargetMode="External"/><Relationship Id="rId13" Type="http://schemas.openxmlformats.org/officeDocument/2006/relationships/hyperlink" Target="https://www.gov.uk/national-insurance-rates-letters/category-letter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v.uk/national-insurance-rates-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topic/personal-tax/self-assessment" TargetMode="External"/><Relationship Id="rId5" Type="http://schemas.openxmlformats.org/officeDocument/2006/relationships/image" Target="media/image1.png"/><Relationship Id="rId15" Type="http://schemas.openxmlformats.org/officeDocument/2006/relationships/hyperlink" Target="https://www.gov.uk/tax-relief-for-employees" TargetMode="External"/><Relationship Id="rId10" Type="http://schemas.openxmlformats.org/officeDocument/2006/relationships/hyperlink" Target="https://www.gov.uk/government/publications/income-tax-personal-allowance-and-basic-rate-limit-from-2019-to-2020/income-tax-personal-allowance-and-basic-rate-limit-from-2019-20" TargetMode="External"/><Relationship Id="rId4" Type="http://schemas.openxmlformats.org/officeDocument/2006/relationships/webSettings" Target="webSettings.xml"/><Relationship Id="rId9" Type="http://schemas.openxmlformats.org/officeDocument/2006/relationships/hyperlink" Target="https://www.moneysavingexpert.com/banking/tax-rates/" TargetMode="External"/><Relationship Id="rId14" Type="http://schemas.openxmlformats.org/officeDocument/2006/relationships/hyperlink" Target="https://www.moneysavingexpert.com/reclaim/uniform-tax-r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D065DB61.dotm</Template>
  <TotalTime>3687</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Sir Isaac Newton Sixth Form</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7</cp:revision>
  <dcterms:created xsi:type="dcterms:W3CDTF">2019-02-14T22:11:00Z</dcterms:created>
  <dcterms:modified xsi:type="dcterms:W3CDTF">2019-02-25T13:38:00Z</dcterms:modified>
</cp:coreProperties>
</file>